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0"/>
        <w:ind w:firstLine="0" w:firstLineChars="0"/>
        <w:rPr>
          <w:rFonts w:ascii="宋体" w:eastAsia="宋体"/>
          <w:color w:val="FF0000"/>
        </w:rPr>
      </w:pPr>
      <w:bookmarkStart w:id="0" w:name="_Toc190748406"/>
      <w:bookmarkStart w:id="1" w:name="_Toc230409460"/>
      <w:bookmarkStart w:id="2" w:name="_Toc194985091"/>
      <w:bookmarkStart w:id="3" w:name="_Toc190826338"/>
      <w:bookmarkStart w:id="4" w:name="_Toc190831869"/>
      <w:bookmarkStart w:id="5" w:name="_Toc190748609"/>
      <w:bookmarkStart w:id="6" w:name="_Toc190749700"/>
      <w:bookmarkStart w:id="7" w:name="_Toc192911396"/>
      <w:bookmarkStart w:id="8" w:name="_Toc190748407"/>
      <w:bookmarkStart w:id="9" w:name="_Toc230430866"/>
      <w:bookmarkStart w:id="10" w:name="_Toc190832283"/>
      <w:bookmarkStart w:id="11" w:name="_Toc192911292"/>
      <w:bookmarkStart w:id="12" w:name="_Toc190832169"/>
      <w:bookmarkStart w:id="13" w:name="_Toc192928321"/>
      <w:r>
        <w:rPr>
          <w:rFonts w:hint="eastAsia" w:ascii="宋体" w:eastAsia="宋体"/>
          <w:color w:val="FF0000"/>
        </w:rPr>
        <w:t>泉州市机关党员教育</w:t>
      </w:r>
    </w:p>
    <w:p>
      <w:pPr>
        <w:ind w:firstLine="0" w:firstLineChars="0"/>
        <w:jc w:val="center"/>
        <w:rPr>
          <w:rStyle w:val="29"/>
        </w:rPr>
      </w:pPr>
      <w:r>
        <w:rPr>
          <w:rFonts w:hint="eastAsia" w:ascii="华文新魏" w:eastAsia="华文新魏"/>
          <w:b/>
          <w:color w:val="FF0000"/>
          <w:w w:val="90"/>
          <w:sz w:val="144"/>
          <w:szCs w:val="144"/>
        </w:rPr>
        <w:t>学 习 材 料</w:t>
      </w:r>
    </w:p>
    <w:p>
      <w:pPr>
        <w:spacing w:afterLines="50"/>
        <w:ind w:right="108" w:firstLine="640"/>
        <w:jc w:val="center"/>
        <w:rPr>
          <w:rFonts w:ascii="楷体_GB2312" w:eastAsia="楷体_GB2312"/>
          <w:sz w:val="32"/>
          <w:szCs w:val="32"/>
        </w:rPr>
      </w:pPr>
      <w:r>
        <w:rPr>
          <w:rFonts w:hint="eastAsia" w:ascii="楷体_GB2312" w:eastAsia="楷体_GB2312"/>
          <w:sz w:val="32"/>
          <w:szCs w:val="32"/>
        </w:rPr>
        <w:t>2025年第</w:t>
      </w:r>
      <w:r>
        <w:rPr>
          <w:rFonts w:hint="eastAsia" w:ascii="楷体_GB2312" w:eastAsia="楷体_GB2312"/>
          <w:sz w:val="32"/>
          <w:szCs w:val="32"/>
          <w:lang w:val="en-US" w:eastAsia="zh-CN"/>
        </w:rPr>
        <w:t>12</w:t>
      </w:r>
      <w:r>
        <w:rPr>
          <w:rFonts w:hint="eastAsia" w:ascii="楷体_GB2312" w:eastAsia="楷体_GB2312"/>
          <w:sz w:val="32"/>
          <w:szCs w:val="32"/>
        </w:rPr>
        <w:t>期（总21</w:t>
      </w:r>
      <w:r>
        <w:rPr>
          <w:rFonts w:hint="eastAsia" w:ascii="楷体_GB2312" w:eastAsia="楷体_GB2312"/>
          <w:sz w:val="32"/>
          <w:szCs w:val="32"/>
          <w:lang w:val="en-US" w:eastAsia="zh-CN"/>
        </w:rPr>
        <w:t>6</w:t>
      </w:r>
      <w:r>
        <w:rPr>
          <w:rFonts w:hint="eastAsia" w:ascii="楷体_GB2312" w:eastAsia="楷体_GB2312"/>
          <w:sz w:val="32"/>
          <w:szCs w:val="32"/>
        </w:rPr>
        <w:t>期）</w:t>
      </w:r>
    </w:p>
    <w:p>
      <w:pPr>
        <w:pStyle w:val="28"/>
        <w:spacing w:after="100" w:afterAutospacing="1"/>
        <w:ind w:firstLine="0" w:firstLineChars="0"/>
        <w:rPr>
          <w:b w:val="0"/>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479415" cy="135255"/>
                <wp:effectExtent l="4445" t="4445" r="21590" b="12700"/>
                <wp:wrapNone/>
                <wp:docPr id="1" name="矩形 16"/>
                <wp:cNvGraphicFramePr/>
                <a:graphic xmlns:a="http://schemas.openxmlformats.org/drawingml/2006/main">
                  <a:graphicData uri="http://schemas.microsoft.com/office/word/2010/wordprocessingShape">
                    <wps:wsp>
                      <wps:cNvSpPr/>
                      <wps:spPr>
                        <a:xfrm>
                          <a:off x="0" y="0"/>
                          <a:ext cx="5479415" cy="135255"/>
                        </a:xfrm>
                        <a:prstGeom prst="rect">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rect id="矩形 16" o:spid="_x0000_s1026" o:spt="1" style="position:absolute;left:0pt;margin-left:-9pt;margin-top:30.2pt;height:10.65pt;width:431.45pt;z-index:251659264;mso-width-relative:page;mso-height-relative:page;" fillcolor="#FF0000" filled="t" stroked="t" coordsize="21600,21600" o:gfxdata="UEsDBAoAAAAAAIdO4kAAAAAAAAAAAAAAAAAEAAAAZHJzL1BLAwQUAAAACACHTuJA3OFx0tsAAAAJ&#10;AQAADwAAAGRycy9kb3ducmV2LnhtbE2PwU7DMBBE70j8g7VI3Fo7NJQQ4vRAiURVqRJNe3dik4TG&#10;6yh20/L3LCe4zWpGs2+y1dX2bDKj7xxKiOYCmMHa6Q4bCYeymCXAfFCoVe/QSPg2Hlb57U2mUu0u&#10;+GGmfWgYlaBPlYQ2hCHl3NetscrP3WCQvE83WhXoHBuuR3WhctvzByGW3KoO6UOrBvPamvq0P1sJ&#10;71+b07oopm21KMvxuHnbPa4XOynv7yLxAiyYa/gLwy8+oUNOTJU7o/aslzCLEtoSJCxFDIwCSRw/&#10;A6tIRE/A84z/X5D/AFBLAwQUAAAACACHTuJA/4QLqOMBAADfAwAADgAAAGRycy9lMm9Eb2MueG1s&#10;rVPNjtMwEL4j8Q6W7zRJ2Sxs1HQPlHJBsNIuDzD1T2LJf7K9Tfs0SNx4CB4H8RqM3VB24bJC5ODM&#10;eMbfzHwzs7o+GE32IkTlbE+bRU2JsMxxZYeefrrbvnhNSUxgOWhnRU+PItLr9fNnq8l3YulGp7kI&#10;BEFs7Cbf0zEl31VVZKMwEBfOC4tG6YKBhGoYKh5gQnSjq2VdX1aTC9wHx0SMeLs5Gem64EspWPoo&#10;ZRSJ6J5ibqmcoZy7fFbrFXRDAD8qNqcB/5CFAWUx6BlqAwnIfVB/QRnFgotOpgVzpnJSKiZKDVhN&#10;U/9Rze0IXpRakJzozzTF/wfLPuxvAlEce0eJBYMt+vH56/dvX0hzmcmZfOzQ59bfhFmLKOZKDzKY&#10;/McayKEQejwTKg6JMLxsL15dXTQtJQxtzct22bYZtPr92oeY3glnSBZ6GrBhhUfYv4/p5PrLJQeL&#10;Tiu+VVoXJQy7NzqQPWBzt9savxn9kZu2ZOrpFQbHPABnTGpIKBqPVUc7lHiPXsSnAefENhDHUwIF&#10;IceHzqgkMl3QjQL4W8tJOnpk1uIK0JyMEZwSLXBjslQ8Eyj9FE/kTtsMLcp0zyzlNp0ak6Wd40fs&#10;6r0PahiR1abQki04RYX+eeLzmD7UUX64l+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OFx0tsA&#10;AAAJAQAADwAAAAAAAAABACAAAAAiAAAAZHJzL2Rvd25yZXYueG1sUEsBAhQAFAAAAAgAh07iQP+E&#10;C6jjAQAA3wMAAA4AAAAAAAAAAQAgAAAAKgEAAGRycy9lMm9Eb2MueG1sUEsFBgAAAAAGAAYAWQEA&#10;AH8FAAAAAA==&#10;">
                <v:fill on="t" focussize="0,0"/>
                <v:stroke color="#FF0000" joinstyle="miter"/>
                <v:imagedata o:title=""/>
                <o:lock v:ext="edit" aspectratio="f"/>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416560</wp:posOffset>
                </wp:positionV>
                <wp:extent cx="5486400" cy="102235"/>
                <wp:effectExtent l="4445" t="4445" r="14605" b="7620"/>
                <wp:wrapNone/>
                <wp:docPr id="2" name="矩形 17"/>
                <wp:cNvGraphicFramePr/>
                <a:graphic xmlns:a="http://schemas.openxmlformats.org/drawingml/2006/main">
                  <a:graphicData uri="http://schemas.microsoft.com/office/word/2010/wordprocessingShape">
                    <wps:wsp>
                      <wps:cNvSpPr/>
                      <wps:spPr>
                        <a:xfrm>
                          <a:off x="0" y="0"/>
                          <a:ext cx="5486400" cy="102235"/>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矩形 17" o:spid="_x0000_s1026" o:spt="1" style="position:absolute;left:0pt;margin-left:-9pt;margin-top:32.8pt;height:8.05pt;width:432pt;z-index:251660288;mso-width-relative:page;mso-height-relative:page;" fillcolor="#FFFFFF" filled="t" stroked="t" coordsize="21600,21600" o:gfxdata="UEsDBAoAAAAAAIdO4kAAAAAAAAAAAAAAAAAEAAAAZHJzL1BLAwQUAAAACACHTuJAPJoDFtcAAAAJ&#10;AQAADwAAAGRycy9kb3ducmV2LnhtbE2PS0/DMBCE70j8B2uRuLVOUAlRGqcSJYgLh1LofWsvSYQf&#10;Uey++PUsJ7jt7oxmv6lXZ2fFkaY4BK8gn2cgyOtgBt8p+Hh/npUgYkJv0AZPCi4UYdVcX9VYmXDy&#10;b3Tcpk5wiI8VKuhTGispo+7JYZyHkTxrn2FymHidOmkmPHG4s/IuywrpcPD8oceR1j3pr+3BKdgg&#10;Pm2+X7R+bC+vi5bWu5aCVer2Js+WIBKd058ZfvEZHRpm2oeDN1FYBbO85C5JQXFfgGBDuSj4sOch&#10;fwDZ1PJ/g+YHUEsDBBQAAAAIAIdO4kBp7MSK4gEAAN8DAAAOAAAAZHJzL2Uyb0RvYy54bWytU82O&#10;EzEMviPxDlHudH7YLsuo0z1QygXBSrs8gJufmUj5U5LttE+DxI2H4HEQr4GTDmUXLivEHDJ27Hy2&#10;P9ur64PRZC9CVM72tFnUlAjLHFd26Omnu+2LK0piAstBOyt6ehSRXq+fP1tNvhOtG53mIhAEsbGb&#10;fE/HlHxXVZGNwkBcOC8sGqULBhKqYah4gAnRja7aur6sJhe4D46JGPF2czLSdcGXUrD0UcooEtE9&#10;xdxSOUM5d/ms1ivohgB+VGxOA/4hCwPKYtAz1AYSkPug/oIyigUXnUwL5kzlpFRMlBqwmqb+o5rb&#10;EbwotSA50Z9piv8Pln3Y3wSieE9bSiwYbNGPz1+/f/tCmleZnMnHDn1u/U2YtYhirvQgg8l/rIEc&#10;CqHHM6HikAjDy+XF1eVFjbwztDV1275cZtDq92sfYnonnCFZ6GnAhhUeYf8+ppPrL5ccLDqt+FZp&#10;XZQw7N7oQPaAzd2Wb0Z/5KYtmXr6etkuMQ/AGZMaEorGY9XRDiXeoxfxacA5sQ3E8ZRAQcjxoTMq&#10;iUwXdKMA/tZyko4embW4AjQnYwSnRAvcmCwVzwRKP8UTudM2Q4sy3TNLuU2nxmRp5/gRu3rvgxpG&#10;ZLUptGQLTlGhf574PKYPdZQf7uX6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yaAxbXAAAACQEA&#10;AA8AAAAAAAAAAQAgAAAAIgAAAGRycy9kb3ducmV2LnhtbFBLAQIUABQAAAAIAIdO4kBp7MSK4gEA&#10;AN8DAAAOAAAAAAAAAAEAIAAAACYBAABkcnMvZTJvRG9jLnhtbFBLBQYAAAAABgAGAFkBAAB6BQAA&#10;AAA=&#10;">
                <v:fill on="t" focussize="0,0"/>
                <v:stroke color="#FFFFFF" joinstyle="miter"/>
                <v:imagedata o:title=""/>
                <o:lock v:ext="edit" aspectratio="f"/>
              </v:rect>
            </w:pict>
          </mc:Fallback>
        </mc:AlternateContent>
      </w:r>
      <w:r>
        <w:rPr>
          <w:rFonts w:hint="eastAsia"/>
        </w:rPr>
        <w:t>中共泉州市委市直机关工作委员会           2025年</w:t>
      </w:r>
      <w:r>
        <w:rPr>
          <w:rFonts w:hint="eastAsia"/>
          <w:lang w:val="en-US" w:eastAsia="zh-CN"/>
        </w:rPr>
        <w:t>12</w:t>
      </w:r>
      <w:r>
        <w:rPr>
          <w:rFonts w:hint="eastAsia"/>
        </w:rPr>
        <w:t>月</w:t>
      </w:r>
    </w:p>
    <w:p>
      <w:pPr>
        <w:pStyle w:val="13"/>
        <w:ind w:firstLine="0" w:firstLineChars="0"/>
        <w:jc w:val="center"/>
      </w:pPr>
      <w:r>
        <w:rPr>
          <w:rFonts w:hint="eastAsia"/>
        </w:rPr>
        <w:t>目  录</w:t>
      </w:r>
      <w:bookmarkEnd w:id="0"/>
    </w:p>
    <w:p>
      <w:pPr>
        <w:pStyle w:val="15"/>
        <w:ind w:left="565" w:leftChars="257" w:firstLine="0" w:firstLineChars="0"/>
        <w:jc w:val="left"/>
        <w:rPr>
          <w:rStyle w:val="24"/>
          <w:rFonts w:hint="eastAsia"/>
          <w:lang w:val="en-US" w:eastAsia="zh-CN"/>
        </w:rPr>
      </w:pPr>
      <w:r>
        <w:rPr>
          <w:rStyle w:val="24"/>
          <w:rFonts w:hint="eastAsia"/>
          <w:lang w:val="en-US" w:eastAsia="zh-CN"/>
        </w:rPr>
        <w:t>中央经济工作会议在北京举行 习近平发表重要讲话</w:t>
      </w:r>
    </w:p>
    <w:p>
      <w:pPr>
        <w:pStyle w:val="15"/>
        <w:ind w:left="565" w:leftChars="257" w:firstLine="0" w:firstLineChars="0"/>
        <w:jc w:val="left"/>
        <w:rPr>
          <w:rStyle w:val="24"/>
          <w:rFonts w:hint="eastAsia"/>
          <w:lang w:val="en-US" w:eastAsia="zh-CN"/>
        </w:rPr>
      </w:pPr>
      <w:r>
        <w:rPr>
          <w:rStyle w:val="24"/>
          <w:rFonts w:hint="eastAsia"/>
          <w:lang w:val="en-US" w:eastAsia="zh-CN"/>
        </w:rPr>
        <w:t>中共中央印发《中国共产党工作机关条例》</w:t>
      </w:r>
    </w:p>
    <w:p>
      <w:pPr>
        <w:pStyle w:val="15"/>
        <w:ind w:left="565" w:leftChars="257" w:firstLine="0" w:firstLineChars="0"/>
        <w:jc w:val="left"/>
        <w:rPr>
          <w:rStyle w:val="24"/>
          <w:rFonts w:hint="eastAsia"/>
          <w:lang w:val="en-US" w:eastAsia="zh-CN"/>
        </w:rPr>
      </w:pPr>
      <w:r>
        <w:rPr>
          <w:rStyle w:val="24"/>
          <w:rFonts w:hint="eastAsia"/>
          <w:lang w:val="en-US" w:eastAsia="zh-CN"/>
        </w:rPr>
        <w:t>为基本实现社会主义现代化取得决定性进展提供坚强组织保证</w:t>
      </w:r>
    </w:p>
    <w:p>
      <w:pPr>
        <w:pStyle w:val="15"/>
        <w:ind w:left="565" w:leftChars="257" w:firstLine="0" w:firstLineChars="0"/>
        <w:jc w:val="left"/>
        <w:rPr>
          <w:rStyle w:val="24"/>
          <w:rFonts w:hint="eastAsia"/>
          <w:lang w:val="en-US" w:eastAsia="zh-CN"/>
        </w:rPr>
      </w:pPr>
      <w:r>
        <w:rPr>
          <w:rStyle w:val="24"/>
          <w:rFonts w:hint="eastAsia"/>
          <w:lang w:val="en-US" w:eastAsia="zh-CN"/>
        </w:rPr>
        <w:t>建设模范机关 走好第一方阵——中央和国家机关深化模范机关建设推进会综述</w:t>
      </w:r>
      <w:bookmarkEnd w:id="1"/>
      <w:bookmarkEnd w:id="2"/>
      <w:bookmarkEnd w:id="3"/>
      <w:bookmarkEnd w:id="4"/>
      <w:bookmarkEnd w:id="5"/>
      <w:bookmarkEnd w:id="6"/>
      <w:bookmarkEnd w:id="7"/>
      <w:bookmarkEnd w:id="8"/>
      <w:bookmarkEnd w:id="9"/>
      <w:bookmarkEnd w:id="10"/>
      <w:bookmarkEnd w:id="11"/>
      <w:bookmarkEnd w:id="12"/>
      <w:bookmarkEnd w:id="13"/>
    </w:p>
    <w:p>
      <w:pPr>
        <w:pStyle w:val="15"/>
        <w:ind w:left="565" w:leftChars="257" w:firstLine="0" w:firstLineChars="0"/>
        <w:jc w:val="left"/>
        <w:rPr>
          <w:rStyle w:val="24"/>
          <w:rFonts w:hint="eastAsia"/>
          <w:lang w:val="en-US" w:eastAsia="zh-CN"/>
        </w:rPr>
      </w:pPr>
      <w:r>
        <w:rPr>
          <w:rStyle w:val="24"/>
          <w:rFonts w:hint="eastAsia"/>
          <w:lang w:val="en-US" w:eastAsia="zh-CN"/>
        </w:rPr>
        <w:t>中共福建省委十一届九次全会在榕举行</w:t>
      </w:r>
    </w:p>
    <w:p>
      <w:pPr>
        <w:pStyle w:val="15"/>
        <w:ind w:left="565" w:leftChars="257" w:firstLine="0" w:firstLineChars="0"/>
        <w:jc w:val="left"/>
        <w:rPr>
          <w:rStyle w:val="24"/>
          <w:rFonts w:hint="eastAsia"/>
          <w:lang w:val="en-US" w:eastAsia="zh-CN"/>
        </w:rPr>
      </w:pPr>
      <w:r>
        <w:rPr>
          <w:rStyle w:val="24"/>
          <w:rFonts w:hint="eastAsia"/>
          <w:lang w:val="en-US" w:eastAsia="zh-CN"/>
        </w:rPr>
        <w:t>中共福建省委关于制定福建省国民经济和社会发展第十五个五年规划的建议</w:t>
      </w:r>
    </w:p>
    <w:p>
      <w:pPr>
        <w:pStyle w:val="15"/>
        <w:ind w:left="565" w:leftChars="257" w:firstLine="0" w:firstLineChars="0"/>
        <w:jc w:val="left"/>
        <w:rPr>
          <w:rStyle w:val="24"/>
          <w:rFonts w:hint="eastAsia"/>
          <w:lang w:val="en-US" w:eastAsia="zh-CN"/>
        </w:rPr>
      </w:pPr>
      <w:r>
        <w:rPr>
          <w:rStyle w:val="24"/>
          <w:rFonts w:hint="eastAsia"/>
          <w:lang w:val="en-US" w:eastAsia="zh-CN"/>
        </w:rPr>
        <w:t>中共泉州市委十三届十次全会举行</w:t>
      </w:r>
    </w:p>
    <w:p>
      <w:pPr>
        <w:pStyle w:val="15"/>
        <w:ind w:left="565" w:leftChars="257" w:firstLine="0" w:firstLineChars="0"/>
        <w:jc w:val="left"/>
        <w:rPr>
          <w:rStyle w:val="24"/>
          <w:rFonts w:hint="eastAsia"/>
          <w:lang w:val="en-US" w:eastAsia="zh-CN"/>
        </w:rPr>
      </w:pPr>
      <w:r>
        <w:rPr>
          <w:rStyle w:val="24"/>
          <w:rFonts w:hint="eastAsia"/>
          <w:lang w:val="en-US" w:eastAsia="zh-CN"/>
        </w:rPr>
        <w:t>中共泉州市委关于制定泉州市国民经济和社会发展第十五个五年规划的建议</w:t>
      </w:r>
    </w:p>
    <w:p>
      <w:pPr>
        <w:pStyle w:val="15"/>
        <w:ind w:left="565" w:leftChars="257" w:firstLine="0" w:firstLineChars="0"/>
        <w:jc w:val="left"/>
        <w:rPr>
          <w:rStyle w:val="24"/>
          <w:rFonts w:hint="eastAsia"/>
          <w:lang w:val="en-US" w:eastAsia="zh-CN"/>
        </w:rPr>
      </w:pPr>
    </w:p>
    <w:p>
      <w:pPr>
        <w:pStyle w:val="15"/>
        <w:ind w:left="565" w:leftChars="257" w:firstLine="0" w:firstLineChars="0"/>
        <w:jc w:val="left"/>
      </w:pPr>
      <w:r>
        <w:t xml:space="preserve"> </w:t>
      </w:r>
    </w:p>
    <w:p/>
    <w:p>
      <w:pPr>
        <w:pStyle w:val="3"/>
      </w:pPr>
      <w: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eastAsia"/>
          <w:kern w:val="0"/>
          <w:lang w:val="en-US" w:eastAsia="zh-CN"/>
        </w:rPr>
      </w:pPr>
      <w:r>
        <w:rPr>
          <w:rFonts w:hint="eastAsia" w:ascii="微软雅黑" w:hAnsi="微软雅黑" w:eastAsia="微软雅黑" w:cs="微软雅黑"/>
          <w:b/>
          <w:i w:val="0"/>
          <w:caps w:val="0"/>
          <w:spacing w:val="8"/>
          <w:sz w:val="33"/>
          <w:szCs w:val="33"/>
          <w:bdr w:val="none" w:color="auto" w:sz="0" w:space="0"/>
          <w:shd w:val="clear" w:fill="FFFFFF"/>
        </w:rPr>
        <w:t>中央经济工作会议在北京举行 习近平发表重要讲话</w:t>
      </w:r>
    </w:p>
    <w:p>
      <w:pPr>
        <w:spacing w:line="320" w:lineRule="exact"/>
        <w:ind w:left="440" w:leftChars="200" w:firstLine="0" w:firstLineChars="0"/>
        <w:rPr>
          <w:rFonts w:hint="eastAsia"/>
          <w:kern w:val="0"/>
          <w:lang w:val="en-US" w:eastAsia="zh-CN"/>
        </w:rPr>
      </w:pPr>
      <w:r>
        <w:rPr>
          <w:rFonts w:hint="eastAsia"/>
          <w:b/>
          <w:bCs/>
          <w:kern w:val="0"/>
          <w:lang w:val="en-US" w:eastAsia="zh-CN"/>
        </w:rPr>
        <w:t>中央经济工作会议在北京举行</w:t>
      </w:r>
      <w:r>
        <w:rPr>
          <w:rFonts w:hint="eastAsia"/>
          <w:b/>
          <w:bCs/>
          <w:kern w:val="0"/>
          <w:lang w:val="en-US" w:eastAsia="zh-CN"/>
        </w:rPr>
        <w:br w:type="textWrapping"/>
      </w:r>
      <w:r>
        <w:rPr>
          <w:rFonts w:hint="eastAsia"/>
          <w:b/>
          <w:bCs/>
          <w:kern w:val="0"/>
          <w:lang w:val="en-US" w:eastAsia="zh-CN"/>
        </w:rPr>
        <w:t>习近平发表重要讲话　李强作总结讲话</w:t>
      </w:r>
      <w:r>
        <w:rPr>
          <w:rFonts w:hint="eastAsia"/>
          <w:b/>
          <w:bCs/>
          <w:kern w:val="0"/>
          <w:lang w:val="en-US" w:eastAsia="zh-CN"/>
        </w:rPr>
        <w:br w:type="textWrapping"/>
      </w:r>
      <w:r>
        <w:rPr>
          <w:rFonts w:hint="eastAsia"/>
          <w:b/>
          <w:bCs/>
          <w:kern w:val="0"/>
          <w:lang w:val="en-US" w:eastAsia="zh-CN"/>
        </w:rPr>
        <w:t>赵乐际王沪宁蔡奇丁薛祥李希出席会议</w:t>
      </w:r>
      <w:r>
        <w:rPr>
          <w:rFonts w:hint="eastAsia"/>
          <w:kern w:val="0"/>
          <w:lang w:val="en-US" w:eastAsia="zh-CN"/>
        </w:rPr>
        <w:t> </w:t>
      </w:r>
    </w:p>
    <w:p>
      <w:pPr>
        <w:spacing w:line="320" w:lineRule="exact"/>
        <w:rPr>
          <w:rFonts w:hint="eastAsia"/>
          <w:kern w:val="0"/>
          <w:lang w:val="en-US" w:eastAsia="zh-CN"/>
        </w:rPr>
      </w:pPr>
    </w:p>
    <w:p>
      <w:pPr>
        <w:spacing w:line="320" w:lineRule="exact"/>
        <w:rPr>
          <w:rFonts w:hint="eastAsia"/>
          <w:kern w:val="0"/>
          <w:lang w:val="en-US" w:eastAsia="zh-CN"/>
        </w:rPr>
      </w:pPr>
      <w:r>
        <w:rPr>
          <w:rFonts w:hint="eastAsia"/>
          <w:kern w:val="0"/>
          <w:lang w:val="en-US" w:eastAsia="zh-CN"/>
        </w:rPr>
        <w:t>中央经济工作会议12月10日至11日在北京举行。中共中央总书记、国家主席、中央军委主席习近平出席会议并发表重要讲话。中共中央政治局常委李强、赵乐际、王沪宁、蔡奇、丁薛祥、李希出席会议。</w:t>
      </w:r>
    </w:p>
    <w:p>
      <w:pPr>
        <w:spacing w:line="320" w:lineRule="exact"/>
        <w:rPr>
          <w:rFonts w:hint="eastAsia"/>
          <w:kern w:val="0"/>
          <w:lang w:val="en-US" w:eastAsia="zh-CN"/>
        </w:rPr>
      </w:pPr>
      <w:r>
        <w:rPr>
          <w:rFonts w:hint="eastAsia"/>
          <w:kern w:val="0"/>
          <w:lang w:val="en-US" w:eastAsia="zh-CN"/>
        </w:rPr>
        <w:t>习近平在重要讲话中总结2025年经济工作，分析当前经济形势，部署2026年经济工作。李强作总结讲话，对贯彻落实习近平总书记重要讲话精神、做好明年经济工作提出要求。</w:t>
      </w:r>
    </w:p>
    <w:p>
      <w:pPr>
        <w:spacing w:line="320" w:lineRule="exact"/>
        <w:rPr>
          <w:rFonts w:hint="eastAsia"/>
          <w:kern w:val="0"/>
          <w:lang w:val="en-US" w:eastAsia="zh-CN"/>
        </w:rPr>
      </w:pPr>
      <w:r>
        <w:rPr>
          <w:rFonts w:hint="eastAsia"/>
          <w:kern w:val="0"/>
          <w:lang w:val="en-US" w:eastAsia="zh-CN"/>
        </w:rPr>
        <w:t>会议指出，今年是很不平凡的一年。以习近平同志为核心的党中央团结带领全党全国各族人民迎难而上、奋力拼搏，坚定不移贯彻新发展理念、推动高质量发展，统筹国内国际两个大局，实施更加积极有为的宏观政策，经济社会发展主要目标将顺利完成。我国经济顶压前行、向新向优发展，现代化产业体系建设持续推进，改革开放迈出新步伐，重点领域风险化解取得积极进展，民生保障更加有力。过去5年，我们有效应对各种冲击挑战，推动党和国家</w:t>
      </w:r>
      <w:bookmarkStart w:id="14" w:name="_GoBack"/>
      <w:bookmarkEnd w:id="14"/>
      <w:r>
        <w:rPr>
          <w:rFonts w:hint="eastAsia"/>
          <w:kern w:val="0"/>
          <w:lang w:val="en-US" w:eastAsia="zh-CN"/>
        </w:rPr>
        <w:t>事业取得新的重大成就，“十四五”即将圆满收官，第二个百年奋斗目标新征程实现良好开局。</w:t>
      </w:r>
    </w:p>
    <w:p>
      <w:pPr>
        <w:spacing w:line="320" w:lineRule="exact"/>
        <w:rPr>
          <w:rFonts w:hint="eastAsia"/>
          <w:kern w:val="0"/>
          <w:lang w:val="en-US" w:eastAsia="zh-CN"/>
        </w:rPr>
      </w:pPr>
      <w:r>
        <w:rPr>
          <w:rFonts w:hint="eastAsia"/>
          <w:kern w:val="0"/>
          <w:lang w:val="en-US" w:eastAsia="zh-CN"/>
        </w:rPr>
        <w:t>会议认为，通过实践，我们对做好新形势下经济工作又有了新的认识和体会：必须充分挖掘经济潜能，必须坚持政策支持和改革创新并举，必须做到既“放得活”又“管得好”，必须坚持投资于物和投资于人紧密结合，必须以苦练内功来应对外部挑战。</w:t>
      </w:r>
    </w:p>
    <w:p>
      <w:pPr>
        <w:spacing w:line="320" w:lineRule="exact"/>
        <w:rPr>
          <w:rFonts w:hint="eastAsia"/>
          <w:kern w:val="0"/>
          <w:lang w:val="en-US" w:eastAsia="zh-CN"/>
        </w:rPr>
      </w:pPr>
      <w:r>
        <w:rPr>
          <w:rFonts w:hint="eastAsia"/>
          <w:kern w:val="0"/>
          <w:lang w:val="en-US" w:eastAsia="zh-CN"/>
        </w:rPr>
        <w:t>会议指出，我国经济发展中老问题、新挑战仍然不少，外部环境变化影响加深，国内供强需弱矛盾突出，重点领域风险隐患较多。这些大多是发展中、转型中的问题，经过努力是可以解决的，我国经济长期向好的支撑条件和基本趋势没有改变。要坚定信心、用好优势、应对挑战，不断巩固拓展经济稳中向好势头。</w:t>
      </w:r>
    </w:p>
    <w:p>
      <w:pPr>
        <w:spacing w:line="320" w:lineRule="exact"/>
        <w:rPr>
          <w:rFonts w:hint="eastAsia"/>
          <w:kern w:val="0"/>
          <w:lang w:val="en-US" w:eastAsia="zh-CN"/>
        </w:rPr>
      </w:pPr>
      <w:r>
        <w:rPr>
          <w:rFonts w:hint="eastAsia"/>
          <w:kern w:val="0"/>
          <w:lang w:val="en-US" w:eastAsia="zh-CN"/>
        </w:rPr>
        <w:t>会议强调，做好明年经济工作，要以习近平新时代中国特色社会主义思想为指导，深入贯彻党的二十大和二十届历次全会精神，完整准确全面贯彻新发展理念，加快构建新发展格局，着力推动高质量发展，坚持稳中求进工作总基调，更好统筹国内经济工作和国际经贸斗争，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pPr>
        <w:spacing w:line="320" w:lineRule="exact"/>
        <w:rPr>
          <w:rFonts w:hint="eastAsia"/>
          <w:kern w:val="0"/>
          <w:lang w:val="en-US" w:eastAsia="zh-CN"/>
        </w:rPr>
      </w:pPr>
      <w:r>
        <w:rPr>
          <w:rFonts w:hint="eastAsia"/>
          <w:kern w:val="0"/>
          <w:lang w:val="en-US" w:eastAsia="zh-CN"/>
        </w:rPr>
        <w:t>会议指出，明年经济工作在政策取向上，要坚持稳中求进、提质增效，发挥存量政策和增量政策集成效应，加大逆周期和跨周期调节力度，提升宏观经济治理效能。要继续实施更加积极的财政政策。保持必要的财政赤字、债务总规模和支出总量，加强财政科学管理，优化财政支出结构，规范税收优惠、财政补贴政策。重视解决地方财政困难，兜牢基层“三保”底线。严肃财经纪律，坚持党政机关过紧日子。要继续实施适度宽松的货币政策。把促进经济稳定增长、物价合理回升作为货币政策的重要考量，灵活高效运用降准降息等多种政策工具，保持流动性充裕，畅通货币政策传导机制，引导金融机构加力支持扩大内需、科技创新、中小微企业等重点领域。保持人民币汇率在合理均衡水平上的基本稳定。要增强宏观政策取向一致性和有效性。将各类经济政策和非经济政策、存量政策和增量政策纳入宏观政策取向一致性评估。健全预期管理机制，提振社会信心。</w:t>
      </w:r>
    </w:p>
    <w:p>
      <w:pPr>
        <w:spacing w:line="320" w:lineRule="exact"/>
        <w:rPr>
          <w:rFonts w:hint="eastAsia"/>
          <w:kern w:val="0"/>
          <w:lang w:val="en-US" w:eastAsia="zh-CN"/>
        </w:rPr>
      </w:pPr>
      <w:r>
        <w:rPr>
          <w:rFonts w:hint="eastAsia"/>
          <w:kern w:val="0"/>
          <w:lang w:val="en-US" w:eastAsia="zh-CN"/>
        </w:rPr>
        <w:t>会议确定，明年经济工作抓好以下重点任务。</w:t>
      </w:r>
    </w:p>
    <w:p>
      <w:pPr>
        <w:spacing w:line="320" w:lineRule="exact"/>
        <w:rPr>
          <w:rFonts w:hint="eastAsia"/>
          <w:kern w:val="0"/>
          <w:lang w:val="en-US" w:eastAsia="zh-CN"/>
        </w:rPr>
      </w:pPr>
      <w:r>
        <w:rPr>
          <w:rFonts w:hint="eastAsia"/>
          <w:kern w:val="0"/>
          <w:lang w:val="en-US" w:eastAsia="zh-CN"/>
        </w:rPr>
        <w:t>一是坚持内需主导，建设强大国内市场。深入实施提振消费专项行动，制定实施城乡居民增收计划。扩大优质商品和服务供给。优化“两新”政策实施。清理消费领域不合理限制措施，释放服务消费潜力。推动投资止跌回稳，适当增加中央预算内投资规模，优化实施“两重”项目，优化地方政府专项债券用途管理，继续发挥新型政策性金融工具作用，有效激发民间投资活力。高质量推进城市更新。</w:t>
      </w:r>
    </w:p>
    <w:p>
      <w:pPr>
        <w:spacing w:line="320" w:lineRule="exact"/>
        <w:rPr>
          <w:rFonts w:hint="eastAsia"/>
          <w:kern w:val="0"/>
          <w:lang w:val="en-US" w:eastAsia="zh-CN"/>
        </w:rPr>
      </w:pPr>
      <w:r>
        <w:rPr>
          <w:rFonts w:hint="eastAsia"/>
          <w:kern w:val="0"/>
          <w:lang w:val="en-US" w:eastAsia="zh-CN"/>
        </w:rPr>
        <w:t>二是坚持创新驱动，加紧培育壮大新动能。制定一体推进教育科技人才发展方案。建设北京（京津冀）、上海（长三角）、粤港澳大湾区国际科技创新中心。强化企业创新主体地位，完善新兴领域知识产权保护制度。制定服务业扩能提质行动方案。实施新一轮重点产业链高质量发展行动。深化拓展“人工智能+”，完善人工智能治理。创新科技金融服务。</w:t>
      </w:r>
    </w:p>
    <w:p>
      <w:pPr>
        <w:spacing w:line="320" w:lineRule="exact"/>
        <w:rPr>
          <w:rFonts w:hint="eastAsia"/>
          <w:kern w:val="0"/>
          <w:lang w:val="en-US" w:eastAsia="zh-CN"/>
        </w:rPr>
      </w:pPr>
      <w:r>
        <w:rPr>
          <w:rFonts w:hint="eastAsia"/>
          <w:kern w:val="0"/>
          <w:lang w:val="en-US" w:eastAsia="zh-CN"/>
        </w:rPr>
        <w:t>三是坚持改革攻坚，增强高质量发展动力活力。制定全国统一大市场建设条例，深入整治“内卷式”竞争。制定和实施进一步深化国资国企改革方案，完善民营经济促进法配套法规政策。加紧清理拖欠企业账款。推动平台企业和平台内经营者、劳动者共赢发展。拓展要素市场化改革试点。健全地方税体系。深入推进中小金融机构减量提质，持续深化资本市场投融资综合改革。</w:t>
      </w:r>
    </w:p>
    <w:p>
      <w:pPr>
        <w:spacing w:line="320" w:lineRule="exact"/>
        <w:rPr>
          <w:rFonts w:hint="eastAsia"/>
          <w:kern w:val="0"/>
          <w:lang w:val="en-US" w:eastAsia="zh-CN"/>
        </w:rPr>
      </w:pPr>
      <w:r>
        <w:rPr>
          <w:rFonts w:hint="eastAsia"/>
          <w:kern w:val="0"/>
          <w:lang w:val="en-US" w:eastAsia="zh-CN"/>
        </w:rPr>
        <w:t>四是坚持对外开放，推动多领域合作共赢。稳步推进制度型开放，有序扩大服务领域自主开放，优化自由贸易试验区布局范围，扎实推进海南自由贸易港建设。推进贸易投资一体化、内外贸一体化发展。鼓励支持服务出口，积极发展数字贸易、绿色贸易。深化外商投资促进体制机制改革。完善海外综合服务体系。推动共建“一带一路”高质量发展。推动商签更多区域和双边贸易投资协定。</w:t>
      </w:r>
    </w:p>
    <w:p>
      <w:pPr>
        <w:spacing w:line="320" w:lineRule="exact"/>
        <w:rPr>
          <w:rFonts w:hint="eastAsia"/>
          <w:kern w:val="0"/>
          <w:lang w:val="en-US" w:eastAsia="zh-CN"/>
        </w:rPr>
      </w:pPr>
      <w:r>
        <w:rPr>
          <w:rFonts w:hint="eastAsia"/>
          <w:kern w:val="0"/>
          <w:lang w:val="en-US" w:eastAsia="zh-CN"/>
        </w:rPr>
        <w:t>五是坚持协调发展，促进城乡融合和区域联动。统筹推进以县城为重要载体的城镇化建设和乡村全面振兴，推动县域经济高质量发展。严守耕地红线，毫不放松抓好粮食生产，促进粮食等重要农产品价格保持在合理水平。持续巩固拓展脱贫攻坚成果，把常态化帮扶纳入乡村振兴战略统筹实施，守牢不发生规模性返贫致贫底线。支持经济大省挑大梁。加强重点城市群协调联动，深化跨行政区合作。加强主要海湾整体规划，推动海洋经济高质量发展。</w:t>
      </w:r>
    </w:p>
    <w:p>
      <w:pPr>
        <w:spacing w:line="320" w:lineRule="exact"/>
        <w:rPr>
          <w:rFonts w:hint="eastAsia"/>
          <w:kern w:val="0"/>
          <w:lang w:val="en-US" w:eastAsia="zh-CN"/>
        </w:rPr>
      </w:pPr>
      <w:r>
        <w:rPr>
          <w:rFonts w:hint="eastAsia"/>
          <w:kern w:val="0"/>
          <w:lang w:val="en-US" w:eastAsia="zh-CN"/>
        </w:rPr>
        <w:t>六是坚持“双碳”引领，推动全面绿色转型。深入推进重点行业节能降碳改造。制定能源强国建设规划纲要，加快新型能源体系建设，扩大绿电应用。加强全国碳排放权交易市场建设。实施固体废物综合治理行动，深入打好蓝天、碧水、净土保卫战，强化新污染物治理。扎实推进“三北”工程攻坚战，实施自然保护地整合优化。加强气象监测预报预警体系建设，加紧补齐北方地区防洪排涝抗灾基础设施短板，提高应对极端天气能力。</w:t>
      </w:r>
    </w:p>
    <w:p>
      <w:pPr>
        <w:spacing w:line="320" w:lineRule="exact"/>
        <w:rPr>
          <w:rFonts w:hint="eastAsia"/>
          <w:kern w:val="0"/>
          <w:lang w:val="en-US" w:eastAsia="zh-CN"/>
        </w:rPr>
      </w:pPr>
      <w:r>
        <w:rPr>
          <w:rFonts w:hint="eastAsia"/>
          <w:kern w:val="0"/>
          <w:lang w:val="en-US" w:eastAsia="zh-CN"/>
        </w:rPr>
        <w:t>七是坚持民生为大，努力为人民群众多办实事。实施稳岗扩容提质行动，稳定高校毕业生、农民工等重点群体就业，鼓励支持灵活就业人员、新就业形态人员参加职工保险。推进教育资源布局结构调整，增加普通高中学位供给和优质高校本科招生。优化药品集中采购，深化医保支付方式改革。实施康复护理扩容提升工程，推行长期护理保险制度，加强对困难群体的关爱帮扶。倡导积极婚育观，努力稳定新出生人口规模。扎实做好安全生产、防灾减灾救灾、食品药品安全等工作。</w:t>
      </w:r>
    </w:p>
    <w:p>
      <w:pPr>
        <w:spacing w:line="320" w:lineRule="exact"/>
        <w:rPr>
          <w:rFonts w:hint="eastAsia"/>
          <w:kern w:val="0"/>
          <w:lang w:val="en-US" w:eastAsia="zh-CN"/>
        </w:rPr>
      </w:pPr>
      <w:r>
        <w:rPr>
          <w:rFonts w:hint="eastAsia"/>
          <w:kern w:val="0"/>
          <w:lang w:val="en-US" w:eastAsia="zh-CN"/>
        </w:rPr>
        <w:t>八是坚持守牢底线，积极稳妥化解重点领域风险。着力稳定房地产市场，因城施策控增量、去库存、优供给，鼓励收购存量商品房重点用于保障性住房等。深化住房公积金制度改革，有序推动“好房子”建设。加快构建房地产发展新模式。积极有序化解地方政府债务风险，督促各地主动化债，不得违规新增隐性债务。优化债务重组和置换办法，多措并举化解地方政府融资平台经营性债务风险。</w:t>
      </w:r>
    </w:p>
    <w:p>
      <w:pPr>
        <w:spacing w:line="320" w:lineRule="exact"/>
        <w:rPr>
          <w:rFonts w:hint="eastAsia"/>
          <w:kern w:val="0"/>
          <w:lang w:val="en-US" w:eastAsia="zh-CN"/>
        </w:rPr>
      </w:pPr>
      <w:r>
        <w:rPr>
          <w:rFonts w:hint="eastAsia"/>
          <w:kern w:val="0"/>
          <w:lang w:val="en-US" w:eastAsia="zh-CN"/>
        </w:rPr>
        <w:t>会议指出，要自觉把思想和行动统一到党中央对形势的科学判断上来，把握我国发展大势，坚定对未来发展的信心。要全面贯彻明年经济工作的总体要求和政策取向，坚持积极务实的目标导向，着力解决存在的困难问题，在质的有效提升上取得更大突破，增强居民和企业的获得感；增强改革与政策的协同效应，推动经济运行和市场预期持续向好。要在大局中把握明年经济工作的关键着力点，围绕做强国内大循环，拓展内需增长新空间；围绕发展新质生产力，推动科技创新和产业创新深度融合；围绕激发高质量发展的动力活力，坚定不移深化改革扩大开放；围绕不断增进民生福祉，加大保障和改善民生力度；围绕守牢安全底线，稳妥做好重点领域风险化解。</w:t>
      </w:r>
    </w:p>
    <w:p>
      <w:pPr>
        <w:spacing w:line="320" w:lineRule="exact"/>
        <w:rPr>
          <w:rFonts w:hint="eastAsia"/>
          <w:kern w:val="0"/>
          <w:lang w:val="en-US" w:eastAsia="zh-CN"/>
        </w:rPr>
      </w:pPr>
      <w:r>
        <w:rPr>
          <w:rFonts w:hint="eastAsia"/>
          <w:kern w:val="0"/>
          <w:lang w:val="en-US" w:eastAsia="zh-CN"/>
        </w:rPr>
        <w:t>会议强调，要加强党对经济工作的全面领导，形成统一意志和强大合力。要坚持党中央集中统一领导，各地区各部门结合实际、因地制宜，全面落实党中央关于明年经济工作的思路、任务、政策。要树立和践行正确政绩观，坚持为人民出政绩、以实干出政绩，自觉按规律办事，完善差异化考核评价体系。要按照党的二十届四中全会《建议》编制国家和地方“十五五”规划及专项规划，推动高质量、可持续的发展。要营造良好的政治环境、人才环境、营商环境、舆论环境，加强政策宣传解读，充分激发社会正能量。</w:t>
      </w:r>
    </w:p>
    <w:p>
      <w:pPr>
        <w:spacing w:line="320" w:lineRule="exact"/>
        <w:rPr>
          <w:rFonts w:hint="eastAsia"/>
          <w:kern w:val="0"/>
          <w:lang w:val="en-US" w:eastAsia="zh-CN"/>
        </w:rPr>
      </w:pPr>
      <w:r>
        <w:rPr>
          <w:rFonts w:hint="eastAsia"/>
          <w:kern w:val="0"/>
          <w:lang w:val="en-US" w:eastAsia="zh-CN"/>
        </w:rPr>
        <w:t>会议要求，要做好岁末年初重要民生商品保供工作，关心困难群众生产生活，坚决防范遏制重特大事故发生。</w:t>
      </w:r>
    </w:p>
    <w:p>
      <w:pPr>
        <w:spacing w:line="320" w:lineRule="exact"/>
        <w:rPr>
          <w:rFonts w:hint="eastAsia"/>
          <w:kern w:val="0"/>
          <w:lang w:val="en-US" w:eastAsia="zh-CN"/>
        </w:rPr>
      </w:pPr>
      <w:r>
        <w:rPr>
          <w:rFonts w:hint="eastAsia"/>
          <w:kern w:val="0"/>
          <w:lang w:val="en-US" w:eastAsia="zh-CN"/>
        </w:rPr>
        <w:t>会议号召，全党全社会要更加紧密团结在以习近平同志为核心的党中央周围，万众一心、砥砺前行，奋力实现明年经济社会发展目标任务，确保“十五五”开好局、起好步。</w:t>
      </w:r>
    </w:p>
    <w:p>
      <w:pPr>
        <w:spacing w:line="320" w:lineRule="exact"/>
        <w:rPr>
          <w:rFonts w:hint="eastAsia"/>
          <w:kern w:val="0"/>
          <w:lang w:val="en-US" w:eastAsia="zh-CN"/>
        </w:rPr>
      </w:pPr>
      <w:r>
        <w:rPr>
          <w:rFonts w:hint="eastAsia"/>
          <w:kern w:val="0"/>
          <w:lang w:val="en-US" w:eastAsia="zh-CN"/>
        </w:rPr>
        <w:t>中共中央政治局委员、中央书记处书记，中央军委副主席，全国人大常委会有关领导同志，国务委员，最高人民法院院长，最高人民检察院检察长，全国政协有关领导同志以及中央军委委员等出席会议。</w:t>
      </w:r>
    </w:p>
    <w:p>
      <w:pPr>
        <w:spacing w:line="320" w:lineRule="exact"/>
        <w:rPr>
          <w:rFonts w:hint="eastAsia"/>
          <w:kern w:val="0"/>
          <w:lang w:val="en-US" w:eastAsia="zh-CN"/>
        </w:rPr>
      </w:pPr>
      <w:r>
        <w:rPr>
          <w:rFonts w:hint="eastAsia"/>
          <w:kern w:val="0"/>
          <w:lang w:val="en-US" w:eastAsia="zh-CN"/>
        </w:rPr>
        <w:t>各省、自治区、直辖市和计划单列市、新疆生产建设兵团党政主要负责同志，中央和国家机关有关部门、有关人民团体、中央管理的部分金融机构和企业、中央军委机关各部门主要负责同志等参加会议。</w:t>
      </w:r>
    </w:p>
    <w:p>
      <w:pPr>
        <w:spacing w:line="320" w:lineRule="exact"/>
        <w:rPr>
          <w:rFonts w:hint="eastAsia"/>
          <w:kern w:val="0"/>
          <w:lang w:val="en-US" w:eastAsia="zh-CN"/>
        </w:rPr>
      </w:pPr>
      <w:r>
        <w:rPr>
          <w:rFonts w:hint="eastAsia"/>
          <w:kern w:val="0"/>
          <w:lang w:val="en-US" w:eastAsia="zh-CN"/>
        </w:rPr>
        <w:t>（来源：新华社）</w:t>
      </w: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pStyle w:val="3"/>
        <w:rPr>
          <w:rFonts w:hint="eastAsia"/>
          <w:lang w:val="en-US" w:eastAsia="zh-CN"/>
        </w:rPr>
      </w:pPr>
      <w:r>
        <w:rPr>
          <w:rFonts w:hint="eastAsia"/>
          <w:lang w:val="en-US" w:eastAsia="zh-CN"/>
        </w:rPr>
        <w:t>中共中央印发《中国共产党工作机关条例》</w:t>
      </w:r>
    </w:p>
    <w:p>
      <w:pPr>
        <w:pStyle w:val="3"/>
        <w:rPr>
          <w:rFonts w:hint="eastAsia"/>
          <w:lang w:val="en-US" w:eastAsia="zh-CN"/>
        </w:rPr>
      </w:pPr>
    </w:p>
    <w:p>
      <w:pPr>
        <w:spacing w:line="320" w:lineRule="exact"/>
        <w:rPr>
          <w:rFonts w:hint="eastAsia"/>
          <w:kern w:val="0"/>
          <w:lang w:val="en-US" w:eastAsia="zh-CN"/>
        </w:rPr>
      </w:pPr>
      <w:r>
        <w:rPr>
          <w:rFonts w:hint="eastAsia"/>
          <w:kern w:val="0"/>
          <w:lang w:val="en-US" w:eastAsia="zh-CN"/>
        </w:rPr>
        <w:t>近日，中共中央印发了修订后的《中国共产党工作机关条例》（以下简称《条例》），并发出通知，要求各地区各部门认真遵照执行。</w:t>
      </w:r>
    </w:p>
    <w:p>
      <w:pPr>
        <w:spacing w:line="320" w:lineRule="exact"/>
        <w:rPr>
          <w:rFonts w:hint="eastAsia"/>
          <w:kern w:val="0"/>
          <w:lang w:val="en-US" w:eastAsia="zh-CN"/>
        </w:rPr>
      </w:pPr>
      <w:r>
        <w:rPr>
          <w:rFonts w:hint="eastAsia"/>
          <w:kern w:val="0"/>
          <w:lang w:val="en-US" w:eastAsia="zh-CN"/>
        </w:rPr>
        <w:t>通知指出，《条例》修订坚持以习近平新时代中国特色社会主义思想为指导，深入贯彻党的二十大和二十届历次全会精神，巩固党和国家机构改革成果，进一步强化对党的工作机关的政治要求，规范党的工作机关的设立和运行，推动党的工作机关提高履职能力和工作水平。</w:t>
      </w:r>
    </w:p>
    <w:p>
      <w:pPr>
        <w:spacing w:line="320" w:lineRule="exact"/>
        <w:rPr>
          <w:rFonts w:hint="eastAsia"/>
          <w:kern w:val="0"/>
          <w:lang w:val="en-US" w:eastAsia="zh-CN"/>
        </w:rPr>
      </w:pPr>
      <w:r>
        <w:rPr>
          <w:rFonts w:hint="eastAsia"/>
          <w:kern w:val="0"/>
          <w:lang w:val="en-US" w:eastAsia="zh-CN"/>
        </w:rPr>
        <w:t>通知要求，各级党委要加强对《条例》实施的组织领导，抓好宣传解读和督促检查，确保《条例》各项规定落到实处。党的各级工作机关要深入贯彻执行《条例》，深刻领会《条例》精神，坚持政治机关定位，发挥执行机关作用，当好党委参谋助手，切实履行实施党的领导、加强党的建设、推进党的事业各项职责。各地区各部门在执行《条例》中的重要情况和建议，要及时报告党中央。</w:t>
      </w:r>
    </w:p>
    <w:p>
      <w:pPr>
        <w:spacing w:line="320" w:lineRule="exact"/>
        <w:rPr>
          <w:rFonts w:hint="eastAsia"/>
          <w:kern w:val="0"/>
          <w:lang w:val="en-US" w:eastAsia="zh-CN"/>
        </w:rPr>
      </w:pPr>
      <w:r>
        <w:rPr>
          <w:rFonts w:hint="eastAsia"/>
          <w:kern w:val="0"/>
          <w:lang w:val="en-US" w:eastAsia="zh-CN"/>
        </w:rPr>
        <w:t>《条例》全文如下。</w:t>
      </w:r>
    </w:p>
    <w:p>
      <w:pPr>
        <w:spacing w:line="320" w:lineRule="exact"/>
        <w:rPr>
          <w:rFonts w:hint="eastAsia"/>
          <w:kern w:val="0"/>
          <w:lang w:val="en-US" w:eastAsia="zh-CN"/>
        </w:rPr>
      </w:pPr>
      <w:r>
        <w:rPr>
          <w:rFonts w:hint="eastAsia"/>
          <w:kern w:val="0"/>
          <w:lang w:val="en-US" w:eastAsia="zh-CN"/>
        </w:rPr>
        <w:t>中国共产党工作机关条例</w:t>
      </w:r>
    </w:p>
    <w:p>
      <w:pPr>
        <w:spacing w:line="320" w:lineRule="exact"/>
        <w:rPr>
          <w:rFonts w:hint="eastAsia"/>
          <w:kern w:val="0"/>
          <w:lang w:val="en-US" w:eastAsia="zh-CN"/>
        </w:rPr>
      </w:pPr>
      <w:r>
        <w:rPr>
          <w:rFonts w:hint="eastAsia"/>
          <w:kern w:val="0"/>
          <w:lang w:val="en-US" w:eastAsia="zh-CN"/>
        </w:rPr>
        <w:t>（2016年11月30日中共中央政治局会议审议批准　2017年3月1日中共中央发布　2025年11月28日中共中央修订　2025年11月28日中共中央发布）</w:t>
      </w:r>
    </w:p>
    <w:p>
      <w:pPr>
        <w:spacing w:line="320" w:lineRule="exact"/>
        <w:rPr>
          <w:rFonts w:hint="eastAsia"/>
          <w:kern w:val="0"/>
          <w:lang w:val="en-US" w:eastAsia="zh-CN"/>
        </w:rPr>
      </w:pPr>
      <w:r>
        <w:rPr>
          <w:rFonts w:hint="eastAsia"/>
          <w:kern w:val="0"/>
          <w:lang w:val="en-US" w:eastAsia="zh-CN"/>
        </w:rPr>
        <w:t>第一章　总则</w:t>
      </w:r>
    </w:p>
    <w:p>
      <w:pPr>
        <w:spacing w:line="320" w:lineRule="exact"/>
        <w:rPr>
          <w:rFonts w:hint="eastAsia"/>
          <w:kern w:val="0"/>
          <w:lang w:val="en-US" w:eastAsia="zh-CN"/>
        </w:rPr>
      </w:pPr>
      <w:r>
        <w:rPr>
          <w:rFonts w:hint="eastAsia"/>
          <w:kern w:val="0"/>
          <w:lang w:val="en-US" w:eastAsia="zh-CN"/>
        </w:rPr>
        <w:t>第一条　为了加强和规范党的工作机关工作，根据《中国共产党章程》，制定本条例。</w:t>
      </w:r>
    </w:p>
    <w:p>
      <w:pPr>
        <w:spacing w:line="320" w:lineRule="exact"/>
        <w:rPr>
          <w:rFonts w:hint="eastAsia"/>
          <w:kern w:val="0"/>
          <w:lang w:val="en-US" w:eastAsia="zh-CN"/>
        </w:rPr>
      </w:pPr>
      <w:r>
        <w:rPr>
          <w:rFonts w:hint="eastAsia"/>
          <w:kern w:val="0"/>
          <w:lang w:val="en-US" w:eastAsia="zh-CN"/>
        </w:rPr>
        <w:t>第二条　党的工作机关必须坚持以习近平新时代中国特色社会主义思想为指导，深刻领悟“两个确立”的决定性意义，增强“四个意识”、坚定“四个自信”、做到“两个维护”，深入贯彻党的基本理论、基本路线、基本方略，坚持政治机关定位，发挥执行机关作用，当好党委参谋助手，切实履行实施党的领导、加强党的建设、推进党的事业各项职责。</w:t>
      </w:r>
    </w:p>
    <w:p>
      <w:pPr>
        <w:spacing w:line="320" w:lineRule="exact"/>
        <w:rPr>
          <w:rFonts w:hint="eastAsia"/>
          <w:kern w:val="0"/>
          <w:lang w:val="en-US" w:eastAsia="zh-CN"/>
        </w:rPr>
      </w:pPr>
      <w:r>
        <w:rPr>
          <w:rFonts w:hint="eastAsia"/>
          <w:kern w:val="0"/>
          <w:lang w:val="en-US" w:eastAsia="zh-CN"/>
        </w:rPr>
        <w:t>第三条　党的工作机关必须坚定维护以习近平同志为核心的党中央权威和集中统一领导，遵循下列原则开展工作：</w:t>
      </w:r>
    </w:p>
    <w:p>
      <w:pPr>
        <w:spacing w:line="320" w:lineRule="exact"/>
        <w:rPr>
          <w:rFonts w:hint="eastAsia"/>
          <w:kern w:val="0"/>
          <w:lang w:val="en-US" w:eastAsia="zh-CN"/>
        </w:rPr>
      </w:pPr>
      <w:r>
        <w:rPr>
          <w:rFonts w:hint="eastAsia"/>
          <w:kern w:val="0"/>
          <w:lang w:val="en-US" w:eastAsia="zh-CN"/>
        </w:rPr>
        <w:t>（一）坚持和加强党的全面领导，坚持党要管党、全面从严治党；</w:t>
      </w:r>
    </w:p>
    <w:p>
      <w:pPr>
        <w:spacing w:line="320" w:lineRule="exact"/>
        <w:rPr>
          <w:rFonts w:hint="eastAsia"/>
          <w:kern w:val="0"/>
          <w:lang w:val="en-US" w:eastAsia="zh-CN"/>
        </w:rPr>
      </w:pPr>
      <w:r>
        <w:rPr>
          <w:rFonts w:hint="eastAsia"/>
          <w:kern w:val="0"/>
          <w:lang w:val="en-US" w:eastAsia="zh-CN"/>
        </w:rPr>
        <w:t>（二）坚持围绕中心、服务大局；</w:t>
      </w:r>
    </w:p>
    <w:p>
      <w:pPr>
        <w:spacing w:line="320" w:lineRule="exact"/>
        <w:rPr>
          <w:rFonts w:hint="eastAsia"/>
          <w:kern w:val="0"/>
          <w:lang w:val="en-US" w:eastAsia="zh-CN"/>
        </w:rPr>
      </w:pPr>
      <w:r>
        <w:rPr>
          <w:rFonts w:hint="eastAsia"/>
          <w:kern w:val="0"/>
          <w:lang w:val="en-US" w:eastAsia="zh-CN"/>
        </w:rPr>
        <w:t>（三）坚持民主集中制；</w:t>
      </w:r>
    </w:p>
    <w:p>
      <w:pPr>
        <w:spacing w:line="320" w:lineRule="exact"/>
        <w:rPr>
          <w:rFonts w:hint="eastAsia"/>
          <w:kern w:val="0"/>
          <w:lang w:val="en-US" w:eastAsia="zh-CN"/>
        </w:rPr>
      </w:pPr>
      <w:r>
        <w:rPr>
          <w:rFonts w:hint="eastAsia"/>
          <w:kern w:val="0"/>
          <w:lang w:val="en-US" w:eastAsia="zh-CN"/>
        </w:rPr>
        <w:t>（四）坚持各司其职、相互配合，确保党的各项工作协调一致、协同推进；</w:t>
      </w:r>
    </w:p>
    <w:p>
      <w:pPr>
        <w:spacing w:line="320" w:lineRule="exact"/>
        <w:rPr>
          <w:rFonts w:hint="eastAsia"/>
          <w:kern w:val="0"/>
          <w:lang w:val="en-US" w:eastAsia="zh-CN"/>
        </w:rPr>
      </w:pPr>
      <w:r>
        <w:rPr>
          <w:rFonts w:hint="eastAsia"/>
          <w:kern w:val="0"/>
          <w:lang w:val="en-US" w:eastAsia="zh-CN"/>
        </w:rPr>
        <w:t>（五）坚持依照党章党规履行职责，在宪法和法律范围内活动。</w:t>
      </w:r>
    </w:p>
    <w:p>
      <w:pPr>
        <w:spacing w:line="320" w:lineRule="exact"/>
        <w:rPr>
          <w:rFonts w:hint="eastAsia"/>
          <w:kern w:val="0"/>
          <w:lang w:val="en-US" w:eastAsia="zh-CN"/>
        </w:rPr>
      </w:pPr>
      <w:r>
        <w:rPr>
          <w:rFonts w:hint="eastAsia"/>
          <w:kern w:val="0"/>
          <w:lang w:val="en-US" w:eastAsia="zh-CN"/>
        </w:rPr>
        <w:t>第四条　本条例适用于中央和地方党的工作机关。</w:t>
      </w:r>
    </w:p>
    <w:p>
      <w:pPr>
        <w:spacing w:line="320" w:lineRule="exact"/>
        <w:rPr>
          <w:rFonts w:hint="eastAsia"/>
          <w:kern w:val="0"/>
          <w:lang w:val="en-US" w:eastAsia="zh-CN"/>
        </w:rPr>
      </w:pPr>
      <w:r>
        <w:rPr>
          <w:rFonts w:hint="eastAsia"/>
          <w:kern w:val="0"/>
          <w:lang w:val="en-US" w:eastAsia="zh-CN"/>
        </w:rPr>
        <w:t>党委设在党的纪律检查委员会、党的工作机关或者由党的工作机关管理的机关，设在行政机关等或者由其整体承担职责的机关，党委直属事业单位，参照本条例执行，党中央另有规定的除外。</w:t>
      </w:r>
    </w:p>
    <w:p>
      <w:pPr>
        <w:spacing w:line="320" w:lineRule="exact"/>
        <w:rPr>
          <w:rFonts w:hint="eastAsia"/>
          <w:kern w:val="0"/>
          <w:lang w:val="en-US" w:eastAsia="zh-CN"/>
        </w:rPr>
      </w:pPr>
      <w:r>
        <w:rPr>
          <w:rFonts w:hint="eastAsia"/>
          <w:kern w:val="0"/>
          <w:lang w:val="en-US" w:eastAsia="zh-CN"/>
        </w:rPr>
        <w:t>党的纪律检查机关的产生和运行，按照党章和有关党内法规执行。</w:t>
      </w:r>
    </w:p>
    <w:p>
      <w:pPr>
        <w:spacing w:line="320" w:lineRule="exact"/>
        <w:rPr>
          <w:rFonts w:hint="eastAsia"/>
          <w:kern w:val="0"/>
          <w:lang w:val="en-US" w:eastAsia="zh-CN"/>
        </w:rPr>
      </w:pPr>
      <w:r>
        <w:rPr>
          <w:rFonts w:hint="eastAsia"/>
          <w:kern w:val="0"/>
          <w:lang w:val="en-US" w:eastAsia="zh-CN"/>
        </w:rPr>
        <w:t>第二章　设立</w:t>
      </w:r>
    </w:p>
    <w:p>
      <w:pPr>
        <w:spacing w:line="320" w:lineRule="exact"/>
        <w:rPr>
          <w:rFonts w:hint="eastAsia"/>
          <w:kern w:val="0"/>
          <w:lang w:val="en-US" w:eastAsia="zh-CN"/>
        </w:rPr>
      </w:pPr>
      <w:r>
        <w:rPr>
          <w:rFonts w:hint="eastAsia"/>
          <w:kern w:val="0"/>
          <w:lang w:val="en-US" w:eastAsia="zh-CN"/>
        </w:rPr>
        <w:t>第五条　党中央以及地方党委根据需要设立若干工作机关，主要包括办公厅（室）、职能部门、办事机构和派出机关，负责主管或者办理党的相关工作。</w:t>
      </w:r>
    </w:p>
    <w:p>
      <w:pPr>
        <w:spacing w:line="320" w:lineRule="exact"/>
        <w:rPr>
          <w:rFonts w:hint="eastAsia"/>
          <w:kern w:val="0"/>
          <w:lang w:val="en-US" w:eastAsia="zh-CN"/>
        </w:rPr>
      </w:pPr>
      <w:r>
        <w:rPr>
          <w:rFonts w:hint="eastAsia"/>
          <w:kern w:val="0"/>
          <w:lang w:val="en-US" w:eastAsia="zh-CN"/>
        </w:rPr>
        <w:t>党的工作机关的设立，应当适应加强党的领导和党的建设的需要，遵循优化协同高效原则，实行总量控制和限额管理。</w:t>
      </w:r>
    </w:p>
    <w:p>
      <w:pPr>
        <w:spacing w:line="320" w:lineRule="exact"/>
        <w:rPr>
          <w:rFonts w:hint="eastAsia"/>
          <w:kern w:val="0"/>
          <w:lang w:val="en-US" w:eastAsia="zh-CN"/>
        </w:rPr>
      </w:pPr>
      <w:r>
        <w:rPr>
          <w:rFonts w:hint="eastAsia"/>
          <w:kern w:val="0"/>
          <w:lang w:val="en-US" w:eastAsia="zh-CN"/>
        </w:rPr>
        <w:t>根据工作需要，党的工作机关可以采用合并设立、合署办公等方式，同职能相近、联系紧密的其他部门统筹设置。统筹设置的仍由党委主管。</w:t>
      </w:r>
    </w:p>
    <w:p>
      <w:pPr>
        <w:spacing w:line="320" w:lineRule="exact"/>
        <w:rPr>
          <w:rFonts w:hint="eastAsia"/>
          <w:kern w:val="0"/>
          <w:lang w:val="en-US" w:eastAsia="zh-CN"/>
        </w:rPr>
      </w:pPr>
      <w:r>
        <w:rPr>
          <w:rFonts w:hint="eastAsia"/>
          <w:kern w:val="0"/>
          <w:lang w:val="en-US" w:eastAsia="zh-CN"/>
        </w:rPr>
        <w:t>第六条　党中央工作机关的设立、撤销、合并或者变更，由中央机构编制管理部门提出方案，按照程序报党中央审批决定。</w:t>
      </w:r>
    </w:p>
    <w:p>
      <w:pPr>
        <w:spacing w:line="320" w:lineRule="exact"/>
        <w:rPr>
          <w:rFonts w:hint="eastAsia"/>
          <w:kern w:val="0"/>
          <w:lang w:val="en-US" w:eastAsia="zh-CN"/>
        </w:rPr>
      </w:pPr>
      <w:r>
        <w:rPr>
          <w:rFonts w:hint="eastAsia"/>
          <w:kern w:val="0"/>
          <w:lang w:val="en-US" w:eastAsia="zh-CN"/>
        </w:rPr>
        <w:t>地方党委工作机关的设立、撤销、合并或者变更，由同级机构编制管理部门提出方案，按照规定程序由本级党委讨论决定后，报上一级机构编制委员会审批，重大事项由上一级机构编制委员会审核后报本级党委审批。</w:t>
      </w:r>
    </w:p>
    <w:p>
      <w:pPr>
        <w:spacing w:line="320" w:lineRule="exact"/>
        <w:rPr>
          <w:rFonts w:hint="eastAsia"/>
          <w:kern w:val="0"/>
          <w:lang w:val="en-US" w:eastAsia="zh-CN"/>
        </w:rPr>
      </w:pPr>
      <w:r>
        <w:rPr>
          <w:rFonts w:hint="eastAsia"/>
          <w:kern w:val="0"/>
          <w:lang w:val="en-US" w:eastAsia="zh-CN"/>
        </w:rPr>
        <w:t>第七条　党的工作机关的领导机构是部（厅、委、室）务会，一般由正职、副职、派驻纪检监察组组长或者纪检监察工委书记及其他成员组成。</w:t>
      </w:r>
    </w:p>
    <w:p>
      <w:pPr>
        <w:spacing w:line="320" w:lineRule="exact"/>
        <w:rPr>
          <w:rFonts w:hint="eastAsia"/>
          <w:kern w:val="0"/>
          <w:lang w:val="en-US" w:eastAsia="zh-CN"/>
        </w:rPr>
      </w:pPr>
      <w:r>
        <w:rPr>
          <w:rFonts w:hint="eastAsia"/>
          <w:kern w:val="0"/>
          <w:lang w:val="en-US" w:eastAsia="zh-CN"/>
        </w:rPr>
        <w:t>党的工作机关的领导职数，根据工作需要和从严控制的原则，严格按照有关规定执行。</w:t>
      </w:r>
    </w:p>
    <w:p>
      <w:pPr>
        <w:spacing w:line="320" w:lineRule="exact"/>
        <w:rPr>
          <w:rFonts w:hint="eastAsia"/>
          <w:kern w:val="0"/>
          <w:lang w:val="en-US" w:eastAsia="zh-CN"/>
        </w:rPr>
      </w:pPr>
      <w:r>
        <w:rPr>
          <w:rFonts w:hint="eastAsia"/>
          <w:kern w:val="0"/>
          <w:lang w:val="en-US" w:eastAsia="zh-CN"/>
        </w:rPr>
        <w:t>党的工作机关正职由上级机构领导成员兼任的，可以设分管日常工作的副职。</w:t>
      </w:r>
    </w:p>
    <w:p>
      <w:pPr>
        <w:spacing w:line="320" w:lineRule="exact"/>
        <w:rPr>
          <w:rFonts w:hint="eastAsia"/>
          <w:kern w:val="0"/>
          <w:lang w:val="en-US" w:eastAsia="zh-CN"/>
        </w:rPr>
      </w:pPr>
      <w:r>
        <w:rPr>
          <w:rFonts w:hint="eastAsia"/>
          <w:kern w:val="0"/>
          <w:lang w:val="en-US" w:eastAsia="zh-CN"/>
        </w:rPr>
        <w:t>党的工作机关不设正职领导助理、秘书长。党中央职能部门确有必要设置的，应当报党中央批准。</w:t>
      </w:r>
    </w:p>
    <w:p>
      <w:pPr>
        <w:spacing w:line="320" w:lineRule="exact"/>
        <w:rPr>
          <w:rFonts w:hint="eastAsia"/>
          <w:kern w:val="0"/>
          <w:lang w:val="en-US" w:eastAsia="zh-CN"/>
        </w:rPr>
      </w:pPr>
      <w:r>
        <w:rPr>
          <w:rFonts w:hint="eastAsia"/>
          <w:kern w:val="0"/>
          <w:lang w:val="en-US" w:eastAsia="zh-CN"/>
        </w:rPr>
        <w:t>第八条　党的工作机关根据工作需要和精干效能的原则设置必要的内设机构。内设机构的设立、撤销、合并或者变更，按照规定的权限和程序审批。</w:t>
      </w:r>
    </w:p>
    <w:p>
      <w:pPr>
        <w:spacing w:line="320" w:lineRule="exact"/>
        <w:rPr>
          <w:rFonts w:hint="eastAsia"/>
          <w:kern w:val="0"/>
          <w:lang w:val="en-US" w:eastAsia="zh-CN"/>
        </w:rPr>
      </w:pPr>
      <w:r>
        <w:rPr>
          <w:rFonts w:hint="eastAsia"/>
          <w:kern w:val="0"/>
          <w:lang w:val="en-US" w:eastAsia="zh-CN"/>
        </w:rPr>
        <w:t>第九条　党的工作机关在核定的编制限额内配备机关工作人员。</w:t>
      </w:r>
    </w:p>
    <w:p>
      <w:pPr>
        <w:spacing w:line="320" w:lineRule="exact"/>
        <w:rPr>
          <w:rFonts w:hint="eastAsia"/>
          <w:kern w:val="0"/>
          <w:lang w:val="en-US" w:eastAsia="zh-CN"/>
        </w:rPr>
      </w:pPr>
      <w:r>
        <w:rPr>
          <w:rFonts w:hint="eastAsia"/>
          <w:kern w:val="0"/>
          <w:lang w:val="en-US" w:eastAsia="zh-CN"/>
        </w:rPr>
        <w:t>第三章　职责</w:t>
      </w:r>
    </w:p>
    <w:p>
      <w:pPr>
        <w:spacing w:line="320" w:lineRule="exact"/>
        <w:rPr>
          <w:rFonts w:hint="eastAsia"/>
          <w:kern w:val="0"/>
          <w:lang w:val="en-US" w:eastAsia="zh-CN"/>
        </w:rPr>
      </w:pPr>
      <w:r>
        <w:rPr>
          <w:rFonts w:hint="eastAsia"/>
          <w:kern w:val="0"/>
          <w:lang w:val="en-US" w:eastAsia="zh-CN"/>
        </w:rPr>
        <w:t>第十条　党的工作机关应当职责明确、权责一致，其职责一般依据党章党规确定，具体职责一般由有关职能配置、内设机构、人员编制规定予以明确。</w:t>
      </w:r>
    </w:p>
    <w:p>
      <w:pPr>
        <w:spacing w:line="320" w:lineRule="exact"/>
        <w:rPr>
          <w:rFonts w:hint="eastAsia"/>
          <w:kern w:val="0"/>
          <w:lang w:val="en-US" w:eastAsia="zh-CN"/>
        </w:rPr>
      </w:pPr>
      <w:r>
        <w:rPr>
          <w:rFonts w:hint="eastAsia"/>
          <w:kern w:val="0"/>
          <w:lang w:val="en-US" w:eastAsia="zh-CN"/>
        </w:rPr>
        <w:t>应当由党委履行的职责，党委不得将其授予工作机关。</w:t>
      </w:r>
    </w:p>
    <w:p>
      <w:pPr>
        <w:spacing w:line="320" w:lineRule="exact"/>
        <w:rPr>
          <w:rFonts w:hint="eastAsia"/>
          <w:kern w:val="0"/>
          <w:lang w:val="en-US" w:eastAsia="zh-CN"/>
        </w:rPr>
      </w:pPr>
      <w:r>
        <w:rPr>
          <w:rFonts w:hint="eastAsia"/>
          <w:kern w:val="0"/>
          <w:lang w:val="en-US" w:eastAsia="zh-CN"/>
        </w:rPr>
        <w:t>第十一条　党的工作机关应当履行下列职责：</w:t>
      </w:r>
    </w:p>
    <w:p>
      <w:pPr>
        <w:spacing w:line="320" w:lineRule="exact"/>
        <w:rPr>
          <w:rFonts w:hint="eastAsia"/>
          <w:kern w:val="0"/>
          <w:lang w:val="en-US" w:eastAsia="zh-CN"/>
        </w:rPr>
      </w:pPr>
      <w:r>
        <w:rPr>
          <w:rFonts w:hint="eastAsia"/>
          <w:kern w:val="0"/>
          <w:lang w:val="en-US" w:eastAsia="zh-CN"/>
        </w:rPr>
        <w:t>（一）坚决贯彻落实党中央决策部署，完善党中央重大决策部署落实机制，确保党中央令行禁止；</w:t>
      </w:r>
    </w:p>
    <w:p>
      <w:pPr>
        <w:spacing w:line="320" w:lineRule="exact"/>
        <w:rPr>
          <w:rFonts w:hint="eastAsia"/>
          <w:kern w:val="0"/>
          <w:lang w:val="en-US" w:eastAsia="zh-CN"/>
        </w:rPr>
      </w:pPr>
      <w:r>
        <w:rPr>
          <w:rFonts w:hint="eastAsia"/>
          <w:kern w:val="0"/>
          <w:lang w:val="en-US" w:eastAsia="zh-CN"/>
        </w:rPr>
        <w:t>（二）贯彻落实上级和本级党委以及上级党的工作机关部署安排，研究部署职责范围内的工作；</w:t>
      </w:r>
    </w:p>
    <w:p>
      <w:pPr>
        <w:spacing w:line="320" w:lineRule="exact"/>
        <w:rPr>
          <w:rFonts w:hint="eastAsia"/>
          <w:kern w:val="0"/>
          <w:lang w:val="en-US" w:eastAsia="zh-CN"/>
        </w:rPr>
      </w:pPr>
      <w:r>
        <w:rPr>
          <w:rFonts w:hint="eastAsia"/>
          <w:kern w:val="0"/>
          <w:lang w:val="en-US" w:eastAsia="zh-CN"/>
        </w:rPr>
        <w:t>（三）当好党委参谋助手，及时报告有关情况、反映问题、提出意见建议，为党委决策提供服务；</w:t>
      </w:r>
    </w:p>
    <w:p>
      <w:pPr>
        <w:spacing w:line="320" w:lineRule="exact"/>
        <w:rPr>
          <w:rFonts w:hint="eastAsia"/>
          <w:kern w:val="0"/>
          <w:lang w:val="en-US" w:eastAsia="zh-CN"/>
        </w:rPr>
      </w:pPr>
      <w:r>
        <w:rPr>
          <w:rFonts w:hint="eastAsia"/>
          <w:kern w:val="0"/>
          <w:lang w:val="en-US" w:eastAsia="zh-CN"/>
        </w:rPr>
        <w:t>（四）按照规定和权限制发党内法规和规范性文件，抓好组织实施和督促落实；</w:t>
      </w:r>
    </w:p>
    <w:p>
      <w:pPr>
        <w:spacing w:line="320" w:lineRule="exact"/>
        <w:rPr>
          <w:rFonts w:hint="eastAsia"/>
          <w:kern w:val="0"/>
          <w:lang w:val="en-US" w:eastAsia="zh-CN"/>
        </w:rPr>
      </w:pPr>
      <w:r>
        <w:rPr>
          <w:rFonts w:hint="eastAsia"/>
          <w:kern w:val="0"/>
          <w:lang w:val="en-US" w:eastAsia="zh-CN"/>
        </w:rPr>
        <w:t>（五）加强机关党的建设工作和群团工作；</w:t>
      </w:r>
    </w:p>
    <w:p>
      <w:pPr>
        <w:spacing w:line="320" w:lineRule="exact"/>
        <w:rPr>
          <w:rFonts w:hint="eastAsia"/>
          <w:kern w:val="0"/>
          <w:lang w:val="en-US" w:eastAsia="zh-CN"/>
        </w:rPr>
      </w:pPr>
      <w:r>
        <w:rPr>
          <w:rFonts w:hint="eastAsia"/>
          <w:kern w:val="0"/>
          <w:lang w:val="en-US" w:eastAsia="zh-CN"/>
        </w:rPr>
        <w:t>（六）承办党委和上级党的工作机关交办的有关事项。</w:t>
      </w:r>
    </w:p>
    <w:p>
      <w:pPr>
        <w:spacing w:line="320" w:lineRule="exact"/>
        <w:rPr>
          <w:rFonts w:hint="eastAsia"/>
          <w:kern w:val="0"/>
          <w:lang w:val="en-US" w:eastAsia="zh-CN"/>
        </w:rPr>
      </w:pPr>
      <w:r>
        <w:rPr>
          <w:rFonts w:hint="eastAsia"/>
          <w:kern w:val="0"/>
          <w:lang w:val="en-US" w:eastAsia="zh-CN"/>
        </w:rPr>
        <w:t>党的工作机关按照有关规定对相关单位实行归口领导或者归口管理。</w:t>
      </w:r>
    </w:p>
    <w:p>
      <w:pPr>
        <w:spacing w:line="320" w:lineRule="exact"/>
        <w:rPr>
          <w:rFonts w:hint="eastAsia"/>
          <w:kern w:val="0"/>
          <w:lang w:val="en-US" w:eastAsia="zh-CN"/>
        </w:rPr>
      </w:pPr>
      <w:r>
        <w:rPr>
          <w:rFonts w:hint="eastAsia"/>
          <w:kern w:val="0"/>
          <w:lang w:val="en-US" w:eastAsia="zh-CN"/>
        </w:rPr>
        <w:t>第十二条　党委办公厅（室）是党委的综合部门，负责推动党委决策部署的落实，按照党委要求协调有关方面开展工作，承担党委运行保障具体事务。</w:t>
      </w:r>
    </w:p>
    <w:p>
      <w:pPr>
        <w:spacing w:line="320" w:lineRule="exact"/>
        <w:rPr>
          <w:rFonts w:hint="eastAsia"/>
          <w:kern w:val="0"/>
          <w:lang w:val="en-US" w:eastAsia="zh-CN"/>
        </w:rPr>
      </w:pPr>
      <w:r>
        <w:rPr>
          <w:rFonts w:hint="eastAsia"/>
          <w:kern w:val="0"/>
          <w:lang w:val="en-US" w:eastAsia="zh-CN"/>
        </w:rPr>
        <w:t>第十三条　党委职能部门是负责党委某一方面工作的主管部门，按照规定行使相对独立的管理职能，协调指导本系统、本领域工作。</w:t>
      </w:r>
    </w:p>
    <w:p>
      <w:pPr>
        <w:spacing w:line="320" w:lineRule="exact"/>
        <w:rPr>
          <w:rFonts w:hint="eastAsia"/>
          <w:kern w:val="0"/>
          <w:lang w:val="en-US" w:eastAsia="zh-CN"/>
        </w:rPr>
      </w:pPr>
      <w:r>
        <w:rPr>
          <w:rFonts w:hint="eastAsia"/>
          <w:kern w:val="0"/>
          <w:lang w:val="en-US" w:eastAsia="zh-CN"/>
        </w:rPr>
        <w:t>第十四条　党委办事机构是协助党委办理某一方面重要事务的机构，一般是指党委为加强跨领域、跨部门重要工作的领导和组织协调而设立的（决策）议事协调机构的常设办事机构，承担（决策）议事协调机构的日常工作，可以根据有关规定履行特定管理职责。</w:t>
      </w:r>
    </w:p>
    <w:p>
      <w:pPr>
        <w:spacing w:line="320" w:lineRule="exact"/>
        <w:rPr>
          <w:rFonts w:hint="eastAsia"/>
          <w:kern w:val="0"/>
          <w:lang w:val="en-US" w:eastAsia="zh-CN"/>
        </w:rPr>
      </w:pPr>
      <w:r>
        <w:rPr>
          <w:rFonts w:hint="eastAsia"/>
          <w:kern w:val="0"/>
          <w:lang w:val="en-US" w:eastAsia="zh-CN"/>
        </w:rPr>
        <w:t>第十五条　党委派出机关是党委为加强对特定领域、行业、系统领导而派出的机关，根据有关规定代表党委领导该领域、行业、系统的工作。</w:t>
      </w:r>
    </w:p>
    <w:p>
      <w:pPr>
        <w:spacing w:line="320" w:lineRule="exact"/>
        <w:rPr>
          <w:rFonts w:hint="eastAsia"/>
          <w:kern w:val="0"/>
          <w:lang w:val="en-US" w:eastAsia="zh-CN"/>
        </w:rPr>
      </w:pPr>
      <w:r>
        <w:rPr>
          <w:rFonts w:hint="eastAsia"/>
          <w:kern w:val="0"/>
          <w:lang w:val="en-US" w:eastAsia="zh-CN"/>
        </w:rPr>
        <w:t>第十六条　党的工作机关应当紧扣职责任务加强机关党建和内部管理，不断提高政治能力和业务能力，打造忠诚干净担当的高素质专业化干部队伍。</w:t>
      </w:r>
    </w:p>
    <w:p>
      <w:pPr>
        <w:spacing w:line="320" w:lineRule="exact"/>
        <w:rPr>
          <w:rFonts w:hint="eastAsia"/>
          <w:kern w:val="0"/>
          <w:lang w:val="en-US" w:eastAsia="zh-CN"/>
        </w:rPr>
      </w:pPr>
      <w:r>
        <w:rPr>
          <w:rFonts w:hint="eastAsia"/>
          <w:kern w:val="0"/>
          <w:lang w:val="en-US" w:eastAsia="zh-CN"/>
        </w:rPr>
        <w:t>第四章　决策与执行</w:t>
      </w:r>
    </w:p>
    <w:p>
      <w:pPr>
        <w:spacing w:line="320" w:lineRule="exact"/>
        <w:rPr>
          <w:rFonts w:hint="eastAsia"/>
          <w:kern w:val="0"/>
          <w:lang w:val="en-US" w:eastAsia="zh-CN"/>
        </w:rPr>
      </w:pPr>
      <w:r>
        <w:rPr>
          <w:rFonts w:hint="eastAsia"/>
          <w:kern w:val="0"/>
          <w:lang w:val="en-US" w:eastAsia="zh-CN"/>
        </w:rPr>
        <w:t>第十七条　党的工作机关必须坚持民主集中制，领导班子实行集体领导和个人分工负责相结合的制度。凡属本机关重大事项，应当按照集体领导、民主集中、个别酝酿、会议决定的原则，由领导班子集体研究决定。领导班子成员应当根据集体的决定和分工，勇于担当、敢于负责，切实履行职责。</w:t>
      </w:r>
    </w:p>
    <w:p>
      <w:pPr>
        <w:spacing w:line="320" w:lineRule="exact"/>
        <w:rPr>
          <w:rFonts w:hint="eastAsia"/>
          <w:kern w:val="0"/>
          <w:lang w:val="en-US" w:eastAsia="zh-CN"/>
        </w:rPr>
      </w:pPr>
      <w:r>
        <w:rPr>
          <w:rFonts w:hint="eastAsia"/>
          <w:kern w:val="0"/>
          <w:lang w:val="en-US" w:eastAsia="zh-CN"/>
        </w:rPr>
        <w:t>第十八条　党的工作机关应当通过召开部（厅、委、室）务会会议等形式讨论决定下列重大事项：</w:t>
      </w:r>
    </w:p>
    <w:p>
      <w:pPr>
        <w:spacing w:line="320" w:lineRule="exact"/>
        <w:rPr>
          <w:rFonts w:hint="eastAsia"/>
          <w:kern w:val="0"/>
          <w:lang w:val="en-US" w:eastAsia="zh-CN"/>
        </w:rPr>
      </w:pPr>
      <w:r>
        <w:rPr>
          <w:rFonts w:hint="eastAsia"/>
          <w:kern w:val="0"/>
          <w:lang w:val="en-US" w:eastAsia="zh-CN"/>
        </w:rPr>
        <w:t>（一）学习贯彻党中央重大决策部署和习近平总书记重要指示精神；</w:t>
      </w:r>
    </w:p>
    <w:p>
      <w:pPr>
        <w:spacing w:line="320" w:lineRule="exact"/>
        <w:rPr>
          <w:rFonts w:hint="eastAsia"/>
          <w:kern w:val="0"/>
          <w:lang w:val="en-US" w:eastAsia="zh-CN"/>
        </w:rPr>
      </w:pPr>
      <w:r>
        <w:rPr>
          <w:rFonts w:hint="eastAsia"/>
          <w:kern w:val="0"/>
          <w:lang w:val="en-US" w:eastAsia="zh-CN"/>
        </w:rPr>
        <w:t>（二）贯彻落实上级和本级党委以及上级党的工作机关的有关决定、指示和工作部署；</w:t>
      </w:r>
    </w:p>
    <w:p>
      <w:pPr>
        <w:spacing w:line="320" w:lineRule="exact"/>
        <w:rPr>
          <w:rFonts w:hint="eastAsia"/>
          <w:kern w:val="0"/>
          <w:lang w:val="en-US" w:eastAsia="zh-CN"/>
        </w:rPr>
      </w:pPr>
      <w:r>
        <w:rPr>
          <w:rFonts w:hint="eastAsia"/>
          <w:kern w:val="0"/>
          <w:lang w:val="en-US" w:eastAsia="zh-CN"/>
        </w:rPr>
        <w:t>（三）研究讨论贯彻执行本机关职责范围内相关方针政策和党内法规、法律法规的具体措施；</w:t>
      </w:r>
    </w:p>
    <w:p>
      <w:pPr>
        <w:spacing w:line="320" w:lineRule="exact"/>
        <w:rPr>
          <w:rFonts w:hint="eastAsia"/>
          <w:kern w:val="0"/>
          <w:lang w:val="en-US" w:eastAsia="zh-CN"/>
        </w:rPr>
      </w:pPr>
      <w:r>
        <w:rPr>
          <w:rFonts w:hint="eastAsia"/>
          <w:kern w:val="0"/>
          <w:lang w:val="en-US" w:eastAsia="zh-CN"/>
        </w:rPr>
        <w:t>（四）讨论决定本机关重大决策、重要人事任免、重大项目安排、大额资金使用等事项；</w:t>
      </w:r>
    </w:p>
    <w:p>
      <w:pPr>
        <w:spacing w:line="320" w:lineRule="exact"/>
        <w:rPr>
          <w:rFonts w:hint="eastAsia"/>
          <w:kern w:val="0"/>
          <w:lang w:val="en-US" w:eastAsia="zh-CN"/>
        </w:rPr>
      </w:pPr>
      <w:r>
        <w:rPr>
          <w:rFonts w:hint="eastAsia"/>
          <w:kern w:val="0"/>
          <w:lang w:val="en-US" w:eastAsia="zh-CN"/>
        </w:rPr>
        <w:t>（五）审议向党委和上级党的工作机关请示报告的重要事项；</w:t>
      </w:r>
    </w:p>
    <w:p>
      <w:pPr>
        <w:spacing w:line="320" w:lineRule="exact"/>
        <w:rPr>
          <w:rFonts w:hint="eastAsia"/>
          <w:kern w:val="0"/>
          <w:lang w:val="en-US" w:eastAsia="zh-CN"/>
        </w:rPr>
      </w:pPr>
      <w:r>
        <w:rPr>
          <w:rFonts w:hint="eastAsia"/>
          <w:kern w:val="0"/>
          <w:lang w:val="en-US" w:eastAsia="zh-CN"/>
        </w:rPr>
        <w:t>（六）研究部署本机关党的建设方面的重要事项；</w:t>
      </w:r>
    </w:p>
    <w:p>
      <w:pPr>
        <w:spacing w:line="320" w:lineRule="exact"/>
        <w:rPr>
          <w:rFonts w:hint="eastAsia"/>
          <w:kern w:val="0"/>
          <w:lang w:val="en-US" w:eastAsia="zh-CN"/>
        </w:rPr>
      </w:pPr>
      <w:r>
        <w:rPr>
          <w:rFonts w:hint="eastAsia"/>
          <w:kern w:val="0"/>
          <w:lang w:val="en-US" w:eastAsia="zh-CN"/>
        </w:rPr>
        <w:t>（七）研究讨论其他重要事项。</w:t>
      </w:r>
    </w:p>
    <w:p>
      <w:pPr>
        <w:spacing w:line="320" w:lineRule="exact"/>
        <w:rPr>
          <w:rFonts w:hint="eastAsia"/>
          <w:kern w:val="0"/>
          <w:lang w:val="en-US" w:eastAsia="zh-CN"/>
        </w:rPr>
      </w:pPr>
      <w:r>
        <w:rPr>
          <w:rFonts w:hint="eastAsia"/>
          <w:kern w:val="0"/>
          <w:lang w:val="en-US" w:eastAsia="zh-CN"/>
        </w:rPr>
        <w:t>第十九条　党的工作机关领导班子应当坚持科学决策、民主决策、依规依法决策。对重大事项的决策，一般应当经过调查研究、征求意见、专业评估、合规合法性审查和集体讨论决定等程序，按照规定开展与宏观政策取向一致性评估。</w:t>
      </w:r>
    </w:p>
    <w:p>
      <w:pPr>
        <w:spacing w:line="320" w:lineRule="exact"/>
        <w:rPr>
          <w:rFonts w:hint="eastAsia"/>
          <w:kern w:val="0"/>
          <w:lang w:val="en-US" w:eastAsia="zh-CN"/>
        </w:rPr>
      </w:pPr>
      <w:r>
        <w:rPr>
          <w:rFonts w:hint="eastAsia"/>
          <w:kern w:val="0"/>
          <w:lang w:val="en-US" w:eastAsia="zh-CN"/>
        </w:rPr>
        <w:t>属于重大决策的，应当按照规定及时请示报告。</w:t>
      </w:r>
    </w:p>
    <w:p>
      <w:pPr>
        <w:spacing w:line="320" w:lineRule="exact"/>
        <w:rPr>
          <w:rFonts w:hint="eastAsia"/>
          <w:kern w:val="0"/>
          <w:lang w:val="en-US" w:eastAsia="zh-CN"/>
        </w:rPr>
      </w:pPr>
      <w:r>
        <w:rPr>
          <w:rFonts w:hint="eastAsia"/>
          <w:kern w:val="0"/>
          <w:lang w:val="en-US" w:eastAsia="zh-CN"/>
        </w:rPr>
        <w:t>第二十条　部（厅、委、室）务会会议由党的工作机关主要负责同志召集并主持，领导班子成员参加。主要负责同志因故无法召集或者出现空缺时，可以委托其他负责同志或者由党委指定的负责同志召集会议。根据工作需要，会议召集人可以确定有关人员列席会议。会议由专门人员如实记录，对决定事项编发会议纪要，并按照规定存档备查。</w:t>
      </w:r>
    </w:p>
    <w:p>
      <w:pPr>
        <w:spacing w:line="320" w:lineRule="exact"/>
        <w:rPr>
          <w:rFonts w:hint="eastAsia"/>
          <w:kern w:val="0"/>
          <w:lang w:val="en-US" w:eastAsia="zh-CN"/>
        </w:rPr>
      </w:pPr>
      <w:r>
        <w:rPr>
          <w:rFonts w:hint="eastAsia"/>
          <w:kern w:val="0"/>
          <w:lang w:val="en-US" w:eastAsia="zh-CN"/>
        </w:rPr>
        <w:t>第二十一条　以党的工作机关名义发布或者上报的文件，由主要负责同志签发。</w:t>
      </w:r>
    </w:p>
    <w:p>
      <w:pPr>
        <w:spacing w:line="320" w:lineRule="exact"/>
        <w:rPr>
          <w:rFonts w:hint="eastAsia"/>
          <w:kern w:val="0"/>
          <w:lang w:val="en-US" w:eastAsia="zh-CN"/>
        </w:rPr>
      </w:pPr>
      <w:r>
        <w:rPr>
          <w:rFonts w:hint="eastAsia"/>
          <w:kern w:val="0"/>
          <w:lang w:val="en-US" w:eastAsia="zh-CN"/>
        </w:rPr>
        <w:t>第二十二条　党的工作机关应当建立有效的督查、评估和反馈机制，确保领导班子决策落实。</w:t>
      </w:r>
    </w:p>
    <w:p>
      <w:pPr>
        <w:spacing w:line="320" w:lineRule="exact"/>
        <w:rPr>
          <w:rFonts w:hint="eastAsia"/>
          <w:kern w:val="0"/>
          <w:lang w:val="en-US" w:eastAsia="zh-CN"/>
        </w:rPr>
      </w:pPr>
      <w:r>
        <w:rPr>
          <w:rFonts w:hint="eastAsia"/>
          <w:kern w:val="0"/>
          <w:lang w:val="en-US" w:eastAsia="zh-CN"/>
        </w:rPr>
        <w:t>第二十三条　党的工作机关根据工作需要，可以召开部长（主任、书记）办公会议，组织推进部（厅、委、室）务会会议决策事项的落实和研究讨论专项工作。部长（主任、书记）办公会议由部长（主任、书记）或者委托领导班子其他成员主持召开，领导班子有关成员和有关内设机构主要负责人等参加。部长（主任、书记）办公会议不得代替部（厅、委、室）务会会议作出决策。</w:t>
      </w:r>
    </w:p>
    <w:p>
      <w:pPr>
        <w:spacing w:line="320" w:lineRule="exact"/>
        <w:rPr>
          <w:rFonts w:hint="eastAsia"/>
          <w:kern w:val="0"/>
          <w:lang w:val="en-US" w:eastAsia="zh-CN"/>
        </w:rPr>
      </w:pPr>
      <w:r>
        <w:rPr>
          <w:rFonts w:hint="eastAsia"/>
          <w:kern w:val="0"/>
          <w:lang w:val="en-US" w:eastAsia="zh-CN"/>
        </w:rPr>
        <w:t>第二十四条　党的工作机关领导班子及其成员应当带头维护党中央权威和集中统一领导，加强党的创新理论武装，不断提高政治判断力、政治领悟力、政治执行力，严守政治纪律和政治规矩，严肃党内政治生活。树立和践行正确政绩观，求真务实，真抓实干，推动党中央决策部署落到实处。深入贯彻中央八项规定精神，落实为基层减负各项要求，坚决反对形式主义、官僚主义、享乐主义和奢靡之风。</w:t>
      </w:r>
    </w:p>
    <w:p>
      <w:pPr>
        <w:spacing w:line="320" w:lineRule="exact"/>
        <w:rPr>
          <w:rFonts w:hint="eastAsia"/>
          <w:kern w:val="0"/>
          <w:lang w:val="en-US" w:eastAsia="zh-CN"/>
        </w:rPr>
      </w:pPr>
      <w:r>
        <w:rPr>
          <w:rFonts w:hint="eastAsia"/>
          <w:kern w:val="0"/>
          <w:lang w:val="en-US" w:eastAsia="zh-CN"/>
        </w:rPr>
        <w:t>党的工作机关领导班子应当认真履行全面从严治党主体责任，坚决维护党的纪律，推动形成风清气正、干事创业的良好环境。</w:t>
      </w:r>
    </w:p>
    <w:p>
      <w:pPr>
        <w:spacing w:line="320" w:lineRule="exact"/>
        <w:rPr>
          <w:rFonts w:hint="eastAsia"/>
          <w:kern w:val="0"/>
          <w:lang w:val="en-US" w:eastAsia="zh-CN"/>
        </w:rPr>
      </w:pPr>
      <w:r>
        <w:rPr>
          <w:rFonts w:hint="eastAsia"/>
          <w:kern w:val="0"/>
          <w:lang w:val="en-US" w:eastAsia="zh-CN"/>
        </w:rPr>
        <w:t>第五章　监督与追责</w:t>
      </w:r>
    </w:p>
    <w:p>
      <w:pPr>
        <w:spacing w:line="320" w:lineRule="exact"/>
        <w:rPr>
          <w:rFonts w:hint="eastAsia"/>
          <w:kern w:val="0"/>
          <w:lang w:val="en-US" w:eastAsia="zh-CN"/>
        </w:rPr>
      </w:pPr>
      <w:r>
        <w:rPr>
          <w:rFonts w:hint="eastAsia"/>
          <w:kern w:val="0"/>
          <w:lang w:val="en-US" w:eastAsia="zh-CN"/>
        </w:rPr>
        <w:t>第二十五条　党的工作机关接受党委的全面监督，每年至少向党委作1次全面工作情况报告，遇有重要情况及时请示报告。执行党中央以及党委某项重要指示和决定的情况，应当进行专题报告。对党的工作机关作出的不适当决定，本级党委有权撤销或者变更。</w:t>
      </w:r>
    </w:p>
    <w:p>
      <w:pPr>
        <w:spacing w:line="320" w:lineRule="exact"/>
        <w:rPr>
          <w:rFonts w:hint="eastAsia"/>
          <w:kern w:val="0"/>
          <w:lang w:val="en-US" w:eastAsia="zh-CN"/>
        </w:rPr>
      </w:pPr>
      <w:r>
        <w:rPr>
          <w:rFonts w:hint="eastAsia"/>
          <w:kern w:val="0"/>
          <w:lang w:val="en-US" w:eastAsia="zh-CN"/>
        </w:rPr>
        <w:t>党的工作机关应当自觉接受巡视巡察，纪委监委及其派驻机构、派出机构等的监督，并抓好监督发现问题的整改落实。</w:t>
      </w:r>
    </w:p>
    <w:p>
      <w:pPr>
        <w:spacing w:line="320" w:lineRule="exact"/>
        <w:rPr>
          <w:rFonts w:hint="eastAsia"/>
          <w:kern w:val="0"/>
          <w:lang w:val="en-US" w:eastAsia="zh-CN"/>
        </w:rPr>
      </w:pPr>
      <w:r>
        <w:rPr>
          <w:rFonts w:hint="eastAsia"/>
          <w:kern w:val="0"/>
          <w:lang w:val="en-US" w:eastAsia="zh-CN"/>
        </w:rPr>
        <w:t>第二十六条　党的工作机关领导班子应当带头落实党的自我革命要求，自觉接受党内监督和群众监督等各类监督。领导班子成员应当如实向党组织报告个人有关事项、述责述廉，接受组织监督。</w:t>
      </w:r>
    </w:p>
    <w:p>
      <w:pPr>
        <w:spacing w:line="320" w:lineRule="exact"/>
        <w:rPr>
          <w:rFonts w:hint="eastAsia"/>
          <w:kern w:val="0"/>
          <w:lang w:val="en-US" w:eastAsia="zh-CN"/>
        </w:rPr>
      </w:pPr>
      <w:r>
        <w:rPr>
          <w:rFonts w:hint="eastAsia"/>
          <w:kern w:val="0"/>
          <w:lang w:val="en-US" w:eastAsia="zh-CN"/>
        </w:rPr>
        <w:t>第二十七条　党委应当定期对所属工作机关履职情况进行检查考核，具体工作由党委组织部门负责，考核结果在一定范围内通报。</w:t>
      </w:r>
    </w:p>
    <w:p>
      <w:pPr>
        <w:spacing w:line="320" w:lineRule="exact"/>
        <w:rPr>
          <w:rFonts w:hint="eastAsia"/>
          <w:kern w:val="0"/>
          <w:lang w:val="en-US" w:eastAsia="zh-CN"/>
        </w:rPr>
      </w:pPr>
      <w:r>
        <w:rPr>
          <w:rFonts w:hint="eastAsia"/>
          <w:kern w:val="0"/>
          <w:lang w:val="en-US" w:eastAsia="zh-CN"/>
        </w:rPr>
        <w:t>第二十八条　党的工作机关领导班子成员违反本条例有关规定的，根据其行为性质和情节轻重，依规依纪依法给予谈话提醒、批评教育、责令检查、诫勉、组织处理或者党纪政务处分等处理。</w:t>
      </w:r>
    </w:p>
    <w:p>
      <w:pPr>
        <w:spacing w:line="320" w:lineRule="exact"/>
        <w:rPr>
          <w:rFonts w:hint="eastAsia"/>
          <w:kern w:val="0"/>
          <w:lang w:val="en-US" w:eastAsia="zh-CN"/>
        </w:rPr>
      </w:pPr>
      <w:r>
        <w:rPr>
          <w:rFonts w:hint="eastAsia"/>
          <w:kern w:val="0"/>
          <w:lang w:val="en-US" w:eastAsia="zh-CN"/>
        </w:rPr>
        <w:t>第六章　附则</w:t>
      </w:r>
    </w:p>
    <w:p>
      <w:pPr>
        <w:spacing w:line="320" w:lineRule="exact"/>
        <w:rPr>
          <w:rFonts w:hint="eastAsia"/>
          <w:kern w:val="0"/>
          <w:lang w:val="en-US" w:eastAsia="zh-CN"/>
        </w:rPr>
      </w:pPr>
      <w:r>
        <w:rPr>
          <w:rFonts w:hint="eastAsia"/>
          <w:kern w:val="0"/>
          <w:lang w:val="en-US" w:eastAsia="zh-CN"/>
        </w:rPr>
        <w:t>第二十九条　机构编制管理部门应当根据本条例科学编制党的工作机关职能配置、内设机构、人员编制规定，按照程序经本级机构编制委员会审定并报本级党委审批后，以党委办公厅（室）文件形式印发。</w:t>
      </w:r>
    </w:p>
    <w:p>
      <w:pPr>
        <w:spacing w:line="320" w:lineRule="exact"/>
        <w:rPr>
          <w:rFonts w:hint="eastAsia"/>
          <w:kern w:val="0"/>
          <w:lang w:val="en-US" w:eastAsia="zh-CN"/>
        </w:rPr>
      </w:pPr>
      <w:r>
        <w:rPr>
          <w:rFonts w:hint="eastAsia"/>
          <w:kern w:val="0"/>
          <w:lang w:val="en-US" w:eastAsia="zh-CN"/>
        </w:rPr>
        <w:t>第三十条　中央军事委员会可以根据本条例，制定相关规定。</w:t>
      </w:r>
    </w:p>
    <w:p>
      <w:pPr>
        <w:spacing w:line="320" w:lineRule="exact"/>
        <w:rPr>
          <w:rFonts w:hint="eastAsia"/>
          <w:kern w:val="0"/>
          <w:lang w:val="en-US" w:eastAsia="zh-CN"/>
        </w:rPr>
      </w:pPr>
      <w:r>
        <w:rPr>
          <w:rFonts w:hint="eastAsia"/>
          <w:kern w:val="0"/>
          <w:lang w:val="en-US" w:eastAsia="zh-CN"/>
        </w:rPr>
        <w:t>第三十一条　本条例由中央办公厅商中央组织部、中央机构编制委员会办公室解释。</w:t>
      </w:r>
    </w:p>
    <w:p>
      <w:pPr>
        <w:spacing w:line="320" w:lineRule="exact"/>
        <w:rPr>
          <w:rFonts w:hint="eastAsia"/>
          <w:kern w:val="0"/>
          <w:lang w:val="en-US" w:eastAsia="zh-CN"/>
        </w:rPr>
      </w:pPr>
      <w:r>
        <w:rPr>
          <w:rFonts w:hint="eastAsia"/>
          <w:kern w:val="0"/>
          <w:lang w:val="en-US" w:eastAsia="zh-CN"/>
        </w:rPr>
        <w:t>第三十二条　本条例自发布之日起施行。</w:t>
      </w: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rPr>
          <w:rFonts w:hint="eastAsia"/>
          <w:kern w:val="0"/>
          <w:lang w:val="en-US" w:eastAsia="zh-CN"/>
        </w:rPr>
      </w:pPr>
    </w:p>
    <w:p>
      <w:pPr>
        <w:spacing w:line="320" w:lineRule="exact"/>
        <w:ind w:left="0" w:leftChars="0" w:firstLine="0" w:firstLineChars="0"/>
        <w:rPr>
          <w:rFonts w:hint="eastAsia"/>
          <w:kern w:val="0"/>
          <w:lang w:val="en-US" w:eastAsia="zh-CN"/>
        </w:rPr>
      </w:pPr>
    </w:p>
    <w:p>
      <w:pPr>
        <w:pStyle w:val="3"/>
        <w:rPr>
          <w:rFonts w:hint="eastAsia"/>
          <w:lang w:val="en-US" w:eastAsia="zh-CN"/>
        </w:rPr>
      </w:pPr>
      <w:r>
        <w:rPr>
          <w:rFonts w:hint="eastAsia"/>
          <w:lang w:val="en-US" w:eastAsia="zh-CN"/>
        </w:rPr>
        <w:t>为基本实现社会主义现代化取得决定性进展提供坚强组织保证</w:t>
      </w:r>
    </w:p>
    <w:p>
      <w:pPr>
        <w:pStyle w:val="3"/>
        <w:rPr>
          <w:rFonts w:hint="eastAsia"/>
          <w:lang w:val="en-US" w:eastAsia="zh-CN"/>
        </w:rPr>
      </w:pPr>
    </w:p>
    <w:p>
      <w:pPr>
        <w:spacing w:line="320" w:lineRule="exact"/>
        <w:rPr>
          <w:rFonts w:hint="eastAsia"/>
          <w:kern w:val="0"/>
          <w:lang w:val="en-US" w:eastAsia="zh-CN"/>
        </w:rPr>
      </w:pPr>
      <w:r>
        <w:rPr>
          <w:rFonts w:hint="eastAsia"/>
          <w:kern w:val="0"/>
          <w:lang w:val="en-US" w:eastAsia="zh-CN"/>
        </w:rPr>
        <w:t>历史长河奔涌向前，关键节点振奋人心。在“十四五”规划目标任务即将胜利完成、向着2035年基本实现社会主义现代化目标全面发力的关键节点，党的二十届四中全会胜利召开。这是在向第二个百年奋斗目标进军的新征程上举行的一次十分重要的会议，对于进一步凝聚起全党全国各族人民磅礴力量，为以中国式现代化全面推进强国建设、民族复兴伟业而团结奋斗，具有重大意义。</w:t>
      </w:r>
    </w:p>
    <w:p>
      <w:pPr>
        <w:spacing w:line="320" w:lineRule="exact"/>
        <w:rPr>
          <w:rFonts w:hint="eastAsia"/>
          <w:kern w:val="0"/>
          <w:lang w:val="en-US" w:eastAsia="zh-CN"/>
        </w:rPr>
      </w:pPr>
      <w:r>
        <w:rPr>
          <w:rFonts w:hint="eastAsia"/>
          <w:kern w:val="0"/>
          <w:lang w:val="en-US" w:eastAsia="zh-CN"/>
        </w:rPr>
        <w:t>习近平总书记在全会上作的工作报告、关于《中共中央关于制定国民经济和社会发展第十五个五年规划的建议》的说明和重要讲话，全面总结党的二十届三中全会以来党和国家工作，深刻阐明党中央提出规划建议的战略考量和决策意图，科学回答了事关党和国家长远发展的一系列方向性、根本性、全局性重大问题。全会审议通过的《建议》，坚持以习近平新时代中国特色社会主义思想为指导，准确把握我国发展的历史方位，深入分析国际国内形势，明确了“十五五”时期经济社会发展的指导方针和主要目标，对未来五年发展作出顶层设计和战略擘画，是指导“十五五”时期经济社会发展的纲领性文件。</w:t>
      </w:r>
    </w:p>
    <w:p>
      <w:pPr>
        <w:spacing w:line="320" w:lineRule="exact"/>
        <w:rPr>
          <w:rFonts w:hint="eastAsia"/>
          <w:kern w:val="0"/>
          <w:lang w:val="en-US" w:eastAsia="zh-CN"/>
        </w:rPr>
      </w:pPr>
      <w:r>
        <w:rPr>
          <w:rFonts w:hint="eastAsia"/>
          <w:kern w:val="0"/>
          <w:lang w:val="en-US" w:eastAsia="zh-CN"/>
        </w:rPr>
        <w:t>学习好贯彻好全会精神，是当前和今后一个时期全党全国的一项重大政治任务。《建议》把“以全面从严治党为根本保障”写入“十五五”时期经济社会发展的指导思想，并对加强和改进党的建设作出一系列部署。各级组织部门要胸怀“国之大者”，站在全局和战略的高度，主动对标对表全会精神，找准组织工作的切入点、结合点、着力点，切实把习近平总书记、党中央交给的各项任务做扎实、做深入、做到位，推动党的政治优势、组织优势更好转化为发展优势、制胜优势。</w:t>
      </w:r>
    </w:p>
    <w:p>
      <w:pPr>
        <w:spacing w:line="320" w:lineRule="exact"/>
        <w:rPr>
          <w:rFonts w:hint="eastAsia"/>
          <w:kern w:val="0"/>
          <w:lang w:val="en-US" w:eastAsia="zh-CN"/>
        </w:rPr>
      </w:pPr>
      <w:r>
        <w:rPr>
          <w:rFonts w:hint="eastAsia"/>
          <w:kern w:val="0"/>
          <w:lang w:val="en-US" w:eastAsia="zh-CN"/>
        </w:rPr>
        <w:t>持续深化理论武装，切实把思想和行动统一到全会精神上来。“十四五”时期，我国经济社会发展之所以能够取得一系列重大成就，根本在于以习近平同志为核心的党中央领航掌舵，在于习近平新时代中国特色社会主义思想的科学指引。《建议》强调，持续用党的创新理论统一思想、统一意志、统一行动。要突出学习贯彻习近平新时代中国特色社会主义思想这个主题主线，精心组织实施党的二十届四中全会精神学习培训，通过党委（党组）理论学习中心组学习、政策宣讲、专题报告会、集中轮训、专题培训等形式，引导党员干部充分认识“十四五”时期党和国家事业取得的重大成就，深刻领悟“两个确立”的决定性意义，增强“四个意识”、坚定“四个自信”、坚决做到“两个维护”；完整、准确、全面贯彻全会对“十五五”时期经济社会发展的重大部署要求，坚定不移地按照习近平总书记、党中央指明的政治方向、确定的前进路线开展工作，奋力跑好“十五五”这关键一程，确保基本实现社会主义现代化取得决定性进展。</w:t>
      </w:r>
    </w:p>
    <w:p>
      <w:pPr>
        <w:spacing w:line="320" w:lineRule="exact"/>
        <w:rPr>
          <w:rFonts w:hint="eastAsia"/>
          <w:kern w:val="0"/>
          <w:lang w:val="en-US" w:eastAsia="zh-CN"/>
        </w:rPr>
      </w:pPr>
      <w:r>
        <w:rPr>
          <w:rFonts w:hint="eastAsia"/>
          <w:kern w:val="0"/>
          <w:lang w:val="en-US" w:eastAsia="zh-CN"/>
        </w:rPr>
        <w:t>突出抓好选贤任能，着力锻造堪当民族复兴重任的高素质干部队伍。“十五五”时期，我国发展环境面临深刻复杂变化，必须有一支政治过硬、适应新征程要求、具备领导现代化建设能力的干部队伍。《建议》要求坚持正确用人导向，激发干部队伍内生动力和整体活力。要坚持党管干部原则，坚持把政治标准放在首位，强化日常考核、分类考核、近距离考核，注重选拔政治过硬、实绩突出、经过实践检验的优秀干部。要加强政绩观教育，改进推动高质量发展的政绩考核，用好政绩观偏差主要问题清单，督促引导干部以实心行实政、以实干创实绩。要以新一轮集中换届为契机选优配强各级领导班子，调整不胜任现职干部，推进领导干部能上能下常态化。要聚焦“十五五”时期重点任务，加强干部教育培训和实践锻炼，增强干部推动高质量发展本领、服务群众本领、防范化解风险本领。</w:t>
      </w:r>
    </w:p>
    <w:p>
      <w:pPr>
        <w:spacing w:line="320" w:lineRule="exact"/>
        <w:rPr>
          <w:rFonts w:hint="eastAsia"/>
          <w:kern w:val="0"/>
          <w:lang w:val="en-US" w:eastAsia="zh-CN"/>
        </w:rPr>
      </w:pPr>
      <w:r>
        <w:rPr>
          <w:rFonts w:hint="eastAsia"/>
          <w:kern w:val="0"/>
          <w:lang w:val="en-US" w:eastAsia="zh-CN"/>
        </w:rPr>
        <w:t>全力筑牢基层基础，统筹推进各领域基层党组织建设。党的基层组织是党的全部工作和战斗力的基础。《建议》提出加强党建引领基层治理和基层政权建设，增强党组织政治功能和组织功能。要深入推进抓党建促乡村振兴，运用“千万工程”经验，突出抓好乡镇党委和村党组织建设，精心组织实施新一轮全国村（社区）“两委”换届，选优配强“两委”班子特别是党组织带头人。要持续深化党建引领基层治理，坚持和发展新时代“枫桥经验”，健全为基层减负长效机制，持续破解基层治理“小马拉大车”突出问题。要以更大力度、更实举措抓好新兴领域党建工作，把扩大党的组织覆盖和工作覆盖摆在首要位置，着力强化政治引领和服务管理，巩固网上和网下阵地，不断增强党在新兴领域的号召力凝聚力影响力。</w:t>
      </w:r>
    </w:p>
    <w:p>
      <w:pPr>
        <w:spacing w:line="320" w:lineRule="exact"/>
        <w:rPr>
          <w:rFonts w:hint="eastAsia"/>
          <w:kern w:val="0"/>
          <w:lang w:val="en-US" w:eastAsia="zh-CN"/>
        </w:rPr>
      </w:pPr>
      <w:r>
        <w:rPr>
          <w:rFonts w:hint="eastAsia"/>
          <w:kern w:val="0"/>
          <w:lang w:val="en-US" w:eastAsia="zh-CN"/>
        </w:rPr>
        <w:t>加快培养集聚人才，壮大经济社会高质量发展第一资源。人才是推进中国式现代化的基础性、战略性支撑。《建议》提出统筹教育强国、科技强国、人才强国建设，一体推进教育科技人才发展。要加强对人才的政治引领和政治吸纳，大力弘扬科学家精神，引导各类人才将个人理想融入国家发展大局。要聚焦培育新质生产力、加快高水平科技自立自强，进一步破除育才引才用才的体制机制障碍，高标准推进人才高地和人才平台建设，优化实施重大人才工程，加快建设国家战略人才力量，促进人才区域协调发展。深化人才发展体制机制改革，完善以创新能力、质量、实效、贡献为导向的人才评价体系，完善人才服务保障体系，营造“近悦远来”的人才生态，激发人才创新创造活力。</w:t>
      </w:r>
    </w:p>
    <w:p>
      <w:pPr>
        <w:spacing w:line="320" w:lineRule="exact"/>
        <w:rPr>
          <w:rFonts w:hint="eastAsia"/>
          <w:kern w:val="0"/>
          <w:lang w:val="en-US" w:eastAsia="zh-CN"/>
        </w:rPr>
      </w:pPr>
      <w:r>
        <w:rPr>
          <w:rFonts w:hint="eastAsia"/>
          <w:kern w:val="0"/>
          <w:lang w:val="en-US" w:eastAsia="zh-CN"/>
        </w:rPr>
        <w:t>推进作风建设常态长效，持续巩固发展风清气正的政治生态。实现“十五五”目标任务，尤其需要以优良作风凝心聚力、真抓实干。《建议》提出锲而不舍落实中央八项规定精神，狠刹各种不正之风，推进作风建设常态化长效化。要巩固拓展深入贯彻中央八项规定精神学习教育成果，常态化开展作风教育，对需要长期整治的问题紧盯不放，引导党员干部始终用党性原则修身律己、以坚强党性涵养优良作风。要健全经常性发现和解决作风问题机制，严肃党内政治生活，把作风建设情况作为民主生活会、组织生活会对照检查的重要内容，引导党员干部自觉打扫灰尘、净化灵魂。要落实作风建设政治责任，强化严管严治，以铁规矩锻造好作风，推动党员干部干事创业、担当作为、为民造福。</w:t>
      </w:r>
    </w:p>
    <w:p>
      <w:pPr>
        <w:spacing w:line="320" w:lineRule="exact"/>
        <w:rPr>
          <w:rFonts w:hint="eastAsia"/>
          <w:kern w:val="0"/>
          <w:lang w:val="en-US" w:eastAsia="zh-CN"/>
        </w:rPr>
      </w:pPr>
      <w:r>
        <w:rPr>
          <w:rFonts w:hint="eastAsia"/>
          <w:kern w:val="0"/>
          <w:lang w:val="en-US" w:eastAsia="zh-CN"/>
        </w:rPr>
        <w:t>宏伟蓝图催人奋进，壮丽征程任重道远。各级党组织和广大党员干部要更加紧密地团结在以习近平同志为核心的党中央周围，以“时时放心不下”的责任感、“事事落实到位”的执行力，勠力同心把全会战略擘画变为“施工图”、“实景画”，为基本实现社会主义现代化取得决定性进展，全面推进强国建设、民族复兴伟业而不懈奋斗！</w:t>
      </w:r>
    </w:p>
    <w:p>
      <w:pPr>
        <w:spacing w:line="320" w:lineRule="exact"/>
        <w:rPr>
          <w:rFonts w:hint="eastAsia" w:eastAsia="宋体"/>
          <w:kern w:val="0"/>
          <w:lang w:val="en-US" w:eastAsia="zh-CN"/>
        </w:rPr>
      </w:pPr>
      <w:r>
        <w:rPr>
          <w:rFonts w:hint="eastAsia"/>
          <w:kern w:val="0"/>
          <w:lang w:val="en-US" w:eastAsia="zh-CN"/>
        </w:rPr>
        <w:t>(来源：《党建研究》2025年第11期）</w:t>
      </w: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pStyle w:val="3"/>
        <w:rPr>
          <w:rFonts w:hint="eastAsia"/>
          <w:w w:val="90"/>
        </w:rPr>
      </w:pPr>
      <w:r>
        <w:rPr>
          <w:rFonts w:hint="eastAsia"/>
          <w:w w:val="90"/>
        </w:rPr>
        <w:t>建设模范机关 走好第一方阵——中央和国家机关深化模范机关建设推进会综述</w:t>
      </w:r>
    </w:p>
    <w:p>
      <w:pPr>
        <w:pStyle w:val="3"/>
        <w:rPr>
          <w:rFonts w:hint="eastAsia"/>
          <w:w w:val="90"/>
        </w:rPr>
      </w:pPr>
    </w:p>
    <w:p>
      <w:pPr>
        <w:spacing w:line="320" w:lineRule="exact"/>
        <w:rPr>
          <w:rFonts w:hint="eastAsia"/>
          <w:kern w:val="0"/>
        </w:rPr>
      </w:pPr>
      <w:r>
        <w:rPr>
          <w:rFonts w:hint="eastAsia"/>
          <w:kern w:val="0"/>
        </w:rPr>
        <w:t>建设让党中央放心、让人民群众满意的模范机关是习近平总书记对中央和国家机关亲自点题的重大政治任务和重要实践课题。</w:t>
      </w:r>
    </w:p>
    <w:p>
      <w:pPr>
        <w:spacing w:line="320" w:lineRule="exact"/>
        <w:rPr>
          <w:rFonts w:hint="eastAsia"/>
          <w:kern w:val="0"/>
        </w:rPr>
      </w:pPr>
      <w:r>
        <w:rPr>
          <w:rFonts w:hint="eastAsia"/>
          <w:kern w:val="0"/>
        </w:rPr>
        <w:t>在全党全国深入学习贯彻党的二十届四中全会精神之际，11月13日，中央和国家机关工委召开中央和国家机关深化模范机关建设推进会。中央和国家机关作为践行“两个维护”的第一方阵，在全面深化改革、落实“十五五”规划目标任务、推动经济社会高质量发展上担负着重大职责使命。在这一关键时间节点，召开深化模范机关建设推进会，既是对中央和国家机关加强模范机关建设的再总结、再推动，也是对学习贯彻四中全会精神的再动员、再部署。</w:t>
      </w:r>
    </w:p>
    <w:p>
      <w:pPr>
        <w:spacing w:line="320" w:lineRule="exact"/>
        <w:rPr>
          <w:rFonts w:hint="eastAsia"/>
          <w:kern w:val="0"/>
        </w:rPr>
      </w:pPr>
      <w:r>
        <w:rPr>
          <w:rFonts w:hint="eastAsia"/>
          <w:kern w:val="0"/>
        </w:rPr>
        <w:t>精心谋划、全力推进，模范机关迈向“深化建设”新阶段</w:t>
      </w:r>
      <w:r>
        <w:rPr>
          <w:rFonts w:hint="eastAsia"/>
          <w:kern w:val="0"/>
        </w:rPr>
        <w:br w:type="textWrapping"/>
      </w:r>
      <w:r>
        <w:rPr>
          <w:rFonts w:hint="eastAsia"/>
          <w:kern w:val="0"/>
        </w:rPr>
        <w:t>从2018年7月，习近平总书记对推进中央和国家机关党的政治建设作出重要指示，明确提出“建设让党中央放心、让人民群众满意的模范机关”；到2019年7月，在中央和国家机关党的建设工作会议上发表重要讲话，将“建设让党中央放心、让人民群众满意的模范机关”作为新时代机关党建的使命任务；到2020年6月，在主持中央政治局第二十一次集体学习时强调，把中央和国家机关建设成为讲政治、守纪律、负责任、有效率的模范机关；再到2024年7月，就中央和国家机关学习贯彻党的二十届三中全会精神、推动机关党建高质量发展作出重要指示，强调走好第一方阵、当好“三个表率”、建设模范机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习近平总书记对中央和国家机关建设模范机关高度重视，把关定向、高位推动，发表一系列重要讲话，多次作出重要指示批示，为中央和国家机关推进模范机关建设指明了方向。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牢记嘱托，砥砺前行。中央和国家机关把建设模范机关作为机关党建的重要使命，以创促建、以创促改，开展了一系列富有成效的实践探索。</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着力抓总体规划部署。中央和国家机关工委先后制定创建模范机关意见、深化模范机关建设意见，制定修订标兵单位和先进单位评选表彰办法；每年中央和国家机关党的工作暨纪检工作会议、年度工作要点，都对模范机关建设作出安排部署；把建设模范机关纳入全面提高机关党建质量三年行动方案并推动深化。</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着力抓政治机关建设。持续深化政治机关意识教育，深入开展以机关党建推动落实习近平总书记重要指示和党中央经济工作决策部署专项工作（“学查改”专项工作），围绕习近平总书记“7·9”重要讲话精神贯彻落实开展“回头看”，规范党员干部政治言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着力抓典型示范引领。组织6个部门、18个司局级单位开展创建模范机关试点培育，分两批评选出20家标兵单位和217家先进单位，实施动态管理，定期开展复查。加强典型宣传，带动各级党组织主动对标、争当模范，形成比学赶超、创先争优的良好氛围。 </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着力抓建设深化。把贯彻落实党中央决策部署、完成部门中心任务、推动高质量发展等作为建设模范机关的重点，制定推动机关党建和业务工作深度融合的意见，充分发挥机关党建引领保障作用。将建设模范机关纳入机关党建专项督查、述职评议考核，与创建“四强”党支部、评选表彰“两优一先”结合起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中央和国家机关各部门紧密结合中心工作，把握目标要求、加强组织领导、精心谋划部署。有的建立部领导班子统一领导、机关党委牵头抓总、有关部门协同配合、各级党组织联动的齐抓共管责任落实格局；有的成立由主要负责同志领衔的模范机关评审工作委员会，加强对评选表彰工作的组织领导；有的积极开展创建试点，多次召开交流推进会，评选表彰建设模范机关先进集体和个人；有的常态化对部系统各单位建设情况进行摸底调研，有针对性进行指导改进；有的加强量化考评和动态管理；有的细化目标任务，同年度绩效考核统筹衔接，以机关文化建设推动化风成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层层落实、步步深入。在中央和国家机关各部门的扎实部署推动下，模范机关逐步迈向“深化建设”新阶段。与会同志表示，新阶段意味着必须把模范机关建设从目标要求更好地向具体实践转换，意味着必须坚持更高标准、更严要求、更实作风、更好效果，意味着必须常态化长效化推进，意味着必须全面进步、全面过硬。要认真落实主体责任，健全深度融合、典型选树、动态管理等工作机制，加强督促指导，把握特点规律，把建设模范机关作为机关党建专项督查、述职评议考核、执纪审查工作专项检查的重要内容，不断开创模范机关建设新局面，为确保基本实现社会主义现代化取得决定性进展作出新的更大贡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聚焦主题、注重实效，“讲政治、守纪律、负责任、有效率”成为自觉行动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讲政治、守纪律、负责任、有效率”是实现让党中央放心、让人民群众满意总目标的实践路径。如何立足发展大局，聚焦重点任务，让模范机关建设呈现真放心、真满意的“打开方式”？推进会上，19家部门和单位作了会议交流，展示了中央和国家机关用行动答好“两让”考卷的生动实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旗帜鲜明讲政治。中央和国家机关首先是政治机关，旗帜鲜明讲政治是第一位的要求。精心组织“第一议题”。围绕学习贯彻习近平总书记最新重要讲话和重要指示批示精神，中央政法委建立集体研学、主题联学、培训促学、报告辅学、调研践学、交流述学“六学联动”机制。中央宣传部政策研究室（法规局）坚持好学能文、坚定笃行，完善支部书记“领学”、党员干部“自学”、研讨交流“促学”机制，持之以恒践行“三个一”学习法（组织党员干部每天至少抽出1小时自学，党小组每周开展1次学习交流、党支部每月组织1次学习研讨）。全力办好政治要件。为贯彻落实习近平总书记重要指示批示精神，教育部建立“一周一督办、一周一报告、党组会一次一通报”调度机制。特别紧急的，3个工作日内报告；其他批示件，原则上10个工作日内报告；需要深入研究、短期内不能办结的，1个月内报告。财政部预算司健全工作责任链条，收到习近平总书记重要指示批示件后，立即准备材料并提请部领导召开专题会，强化督办通报，做到落实一件批示、解决一类问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廉洁奉公守纪律。中央和国家机关作风状况直接关系党中央形象，关系党和政府在人民群众中的形象。各单位坚持严字当头，把纪律的螺丝拧得紧而又紧。严明纪律规矩。中央纪委国家监委第十二审查调查室编制《审查调查工作手册》、审查调查100个风险点提示等，坚持案前全员培训、案中全程监督、案后质量评查总结，每一个步骤都严格遵循法定权限、规则和程序。外交部国际司经常性开展司党总支和支部纪检委员联席会议，开展预防式沉浸式警示教育，坚持“网上网下”一起管、“八小时”内外相统一，设立“网格化管理员”、节假日“零报告”、家访等制度，下功夫抓好党员日常教育管理监督。深化作风建设。民政部机关党委（人事司）持续涵养“严真细实快”工作作风，制定并实施部机关改进作风提升行动实施方案，聚焦“五字”要求找差距、查根源、明举措；每年年中、年底分别举办述职评议大会，司局（单位）主要负责同志现场述职、晒单亮绩，党员干部现场打分，现场评选出“实干担当班子”“十大政策创制”“十大专项工作”等，部领导现场点评。人力资源社会保障部养老保险司注重到基层、到群众中听意见、找办法，班子成员就新就业形态劳动者参保缴费、多层次养老保险体系建设等难点问题，人人领题开展深入调研，切实提出破题思路和政策建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敬业奉献负责任。建设模范机关，做到“负责任”，既要种好机关党建“责任田”，也要耕好业务“责任田”和发展“责任田”。推进党建和业务深度融合。中央组织部组织一局承担研究制定党支部工作条例的职能，负责指导党支部建设，以机关党建为模范机关建设的根本保证，持续巩固模范机关建设成果，制定并落实巩固深化“四强”党支部建设具体措施、深化“中央和国家机关创建模范机关标兵单位”荣誉称号18条措施等。中国邮政集团有限公司金融业务部坚持先进典型示范引领，深入开展“我是主角我领衔”“我是主角我献言”“我是主角我主创”系列活动，坚持党员主动领题破题，构建了“顶层设计+问计问效于基层”的领题破题新模式，形成了“党员干部带头干、全员合力齐攻坚”的攻坚克难工作局面。干事创业敢担当。中央编办机关党委（人事局）大兴调查研究之风，每年组织年轻干部到县、乡、村蹲点调研1周，每半年分别开展干部工作专题调研和党员干部思想动态调研，直插一线、解剖麻雀，把改革方案和政策建议桩桩件件建立在扎实调研基础上。中央广播电视总台内参舆情中心组建突发应急报道小组，增强突发应急快速反应、研判报道能力，在国内外重大突发报道中做到“零缺位”；紧盯舆情热点，依托舆情监测机制，紧跟网络热点舆情发展动向，为党中央及时全面了解热点全貌、研判外溢风险、准确引导舆情动向提供可靠信息和参考建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赋能提质有效率。“有效率”是机关运行的硬指标，也是深化模范机关建设的硬任务。推进机关效能建设。公安部法制局优化局机关职能配置，对局党委议事、局务会议、公文办理、信息采集发布等制定规则；大力推进法制综合应用系统建设，建设应用公安案件库、执法办案管理中心数字化系统，用信息化智能化手段为工作赋能增效。中国科学院办公厅从“高效办成一件事”入手，积极运用信息化技术提高工作效率，自主开发软件用于大会座席图排布，建立覆盖全机关的智能化公文流转系统和“日清、月结、周核查”制度，准确追踪文件处理情况、强化实效提醒。夯实为民服务理念。“有效率”说到底就是让人民群众满意。中央统战部八局紧扣铸牢中华民族共同体意识主线，协调支持新疆深入推进“民族团结一家亲”和民族团结联谊活动，目前全疆110万干部职工与160万基层群众结对认亲。全国妇联家庭和儿童工作部聚焦家庭建设和儿童成长，开展家庭家教家风建设在基层治理中发挥作用、寻找“最美家庭”活动、家庭教育五年规划、爱心妈妈关爱服务等专题调研，摸清情况、找准问题、提出对策、抓实举措。</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大家表示，中央和国家机关认真落实“讲政治、守纪律、负责任、有效率”的实践要求，推动模范机关建设持续深化，淬炼了思想、锤炼了作风、锻炼了队伍，机关政治生态得到净化、工作效能明显提高。</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锚定目标、凝心聚力，在贯彻落实全会精神中发挥机关力量、展现机关担当</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全国政协经济委员会办公室（二局）高水平服务承办相关专题议政性常委会会议，组织委员聚焦“十五五”时期经济社会发展目标任务协商建言，助力科学编制规划；中国宋庆龄基金会机关党委（人事部）组织党员干部逐字逐句研读四中全会文件，深学细悟，在感悟伟大成就中坚定政治信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党的二十届四中全会擘画宏伟蓝图、吹响奋进号角。中央和国家机关各部门把学习宣传贯彻全会精神作为当前和今后一个时期的重大政治任务，迅速掀起学习热潮。深化模范机关建设，第一位的是要不折不扣落实党中央决策部署，聚焦四中全会提出的重大部署、重要任务、重点工作，紧扣职能职责、主动担当作为。会议把深化模范机关建设与贯彻落实四中全会精神紧密结合起来，强调要在“四个方面”走在前、作示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在坚定拥护“两个确立”、坚决做到“两个维护”上走在前、作示范。坚持学字当头，把学习贯彻习近平新时代中国特色社会主义思想作为头等大事，高标准、高质量抓好四中全会精神学习贯彻，分层级、全覆盖开展培训轮训，引导党员干部联系“十四五”时期我国发展取得的重大成就，深刻领悟“两个确立”的决定性意义，筑牢思想政治根基。健全党中央重大决策部署和习近平总书记重要指示批示精神贯彻落实机制，形成传达学习、研究部署、狠抓落实、督促检查、及时报告、跟踪问效等工作闭环。健全“学查改”长效机制，以高质量党建推动落实党中央关于高质量发展决策部署。</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在严明纪律规矩、永葆清正廉洁上走在前、作示范。建立经常性和集中性相结合的纪律教育机制，巩固拓展党纪学习教育和深入贯彻中央八项规定精神学习教育成果，坚持每年开展党章党规党纪学习，常态化开展警示教育，引导党员干部把纪律规矩内化为日用而不觉的言行准则。紧盯公权力、突出软权力，推动建立可量化、可监督的权力清单，健全授权用权制权相统一、清晰透明可追溯的制度体系。加强对党员干部全方位管理和经常性监督，深化运用“四种形态”，形成全方位、全天候、全链条监督网络。深化风腐同查同治，坚持“由风查腐”“由腐纠风”双向突破，将党风党纪硬要求变为硬举措、让铁规矩长出铁牙齿，建设风清气正的政治机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在认真履职尽责、勇于担当作为上走在前、作示范。牵住责任制这个“牛鼻子”，认真履行机关党建工作责任制、党风廉政建设责任制、思想政治工作责任制和意识形态工作责任制，细化实化责任清单，构建明责清晰、履责到位、督责有力、考责精准的责任体系。切实履行党中央赋予的工作职责，紧盯制约高质量发展的短板瓶颈，勇挑最重的担子、敢啃最硬的骨头，在推动“十五五”时期经济社会发展中扛牢“第一方阵”责任、展现“最初一公里”担当。完善崇尚实干、容错免责、激励有为的正向激励机制，开展设岗定责、承诺践诺等活动，充分调动党员干部干事创业的积极性，更好立足岗位作贡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在提高机关效能、竭诚为民服务上走在前、作示范。推进效能司局、效能处室建设，与中心工作完成、重大任务落实紧密结合起来，优化职能配置和工作流程，不断提升机关整体效能。健全“高效办成一件事”重点事项常态化推进机制，运用现代化信息技术为机关工作赋能增效，推动机关工作手段创新、方法创新、机制创新。把党的群众路线贯穿作决策、抓工作、促落实全过程，坚持和发扬好新时代“枫桥经验”，健全调查研究常态化机制，组织党员干部走出机关大院、深入基层群众，问政于民、问需于民、问计于民。持续整治形式主义为基层减负，着力纠正各种“机关病”和“衙门”作风。围绕便民利民惠民，不断提高政策有效供给水平，切实增强群众的获得感、幸福感和安全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r>
        <w:rPr>
          <w:rFonts w:hint="eastAsia"/>
          <w:kern w:val="0"/>
        </w:rPr>
        <w:t>北辰引航，众星共仰。中央和国家机关广大党员干部一致表示，要在习近平新时代中国特色社会主义思想科学指引下，锚定“让党中央放心、让人民群众满意”的模范机关建设目标，勇于担当作为、更好履职尽责，守正创新、狠抓落实，让每一项措施落地生根，让每一分努力开花结果，不断开创模范机关建设新局面，在以中国式现代化全面推进强国建设、民族复兴伟业中贡献智慧和力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eastAsia="宋体"/>
          <w:kern w:val="0"/>
          <w:lang w:eastAsia="zh-CN"/>
        </w:rPr>
      </w:pPr>
      <w:r>
        <w:rPr>
          <w:rFonts w:hint="eastAsia"/>
          <w:kern w:val="0"/>
          <w:lang w:eastAsia="zh-CN"/>
        </w:rPr>
        <w:t>（来源：旗帜网）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outlineLvl w:val="9"/>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pStyle w:val="3"/>
        <w:spacing w:after="0"/>
        <w:rPr>
          <w:rFonts w:hint="eastAsia"/>
        </w:rPr>
      </w:pPr>
      <w:r>
        <w:rPr>
          <w:rFonts w:hint="eastAsia"/>
        </w:rPr>
        <w:t>中共福建省委十一届九次全会在榕举行</w:t>
      </w:r>
    </w:p>
    <w:p>
      <w:pPr>
        <w:pStyle w:val="3"/>
        <w:spacing w:after="0"/>
        <w:rPr>
          <w:rFonts w:hint="eastAsia"/>
        </w:rPr>
      </w:pPr>
    </w:p>
    <w:p>
      <w:pPr>
        <w:spacing w:line="320" w:lineRule="exact"/>
        <w:jc w:val="left"/>
        <w:rPr>
          <w:rFonts w:hint="eastAsia"/>
          <w:kern w:val="0"/>
          <w:lang w:val="en-US" w:eastAsia="zh-CN"/>
        </w:rPr>
      </w:pPr>
      <w:r>
        <w:rPr>
          <w:rFonts w:hint="eastAsia"/>
          <w:kern w:val="0"/>
          <w:lang w:val="en-US" w:eastAsia="zh-CN"/>
        </w:rPr>
        <w:t>中国共产党福建省第十一届委员会第九次全体会议决议（2025年11月20日中国共产党福建省第十一届委员会第九次全体会议通过）</w:t>
      </w:r>
    </w:p>
    <w:p>
      <w:pPr>
        <w:spacing w:line="320" w:lineRule="exact"/>
        <w:jc w:val="left"/>
        <w:rPr>
          <w:rFonts w:hint="eastAsia"/>
          <w:kern w:val="0"/>
          <w:lang w:val="en-US" w:eastAsia="zh-CN"/>
        </w:rPr>
      </w:pPr>
      <w:r>
        <w:rPr>
          <w:rFonts w:hint="eastAsia"/>
          <w:kern w:val="0"/>
          <w:lang w:val="en-US" w:eastAsia="zh-CN"/>
        </w:rPr>
        <w:t>中国共产党福建省第十一届委员会第九次全体会议，于2025年11月20日在福州举行。</w:t>
      </w:r>
    </w:p>
    <w:p>
      <w:pPr>
        <w:spacing w:line="320" w:lineRule="exact"/>
        <w:jc w:val="left"/>
        <w:rPr>
          <w:rFonts w:hint="eastAsia"/>
          <w:kern w:val="0"/>
          <w:lang w:val="en-US" w:eastAsia="zh-CN"/>
        </w:rPr>
      </w:pPr>
      <w:r>
        <w:rPr>
          <w:rFonts w:hint="eastAsia"/>
          <w:kern w:val="0"/>
          <w:lang w:val="en-US" w:eastAsia="zh-CN"/>
        </w:rPr>
        <w:t>出席这次会议的有省委委员65人，省委候补委员13人。省纪委常委、省监委委员和有关方面负责同志，党的二十大代表和省第十一次党代会代表中的部分专家学者和基层代表等列席会议。</w:t>
      </w:r>
    </w:p>
    <w:p>
      <w:pPr>
        <w:spacing w:line="320" w:lineRule="exact"/>
        <w:jc w:val="left"/>
        <w:rPr>
          <w:rFonts w:hint="eastAsia"/>
          <w:kern w:val="0"/>
          <w:lang w:val="en-US" w:eastAsia="zh-CN"/>
        </w:rPr>
      </w:pPr>
      <w:r>
        <w:rPr>
          <w:rFonts w:hint="eastAsia"/>
          <w:kern w:val="0"/>
          <w:lang w:val="en-US" w:eastAsia="zh-CN"/>
        </w:rPr>
        <w:t>全会由省委常委会主持。省委书记周祖翼讲话。</w:t>
      </w:r>
    </w:p>
    <w:p>
      <w:pPr>
        <w:spacing w:line="320" w:lineRule="exact"/>
        <w:jc w:val="left"/>
        <w:rPr>
          <w:rFonts w:hint="eastAsia"/>
          <w:kern w:val="0"/>
          <w:lang w:val="en-US" w:eastAsia="zh-CN"/>
        </w:rPr>
      </w:pPr>
      <w:r>
        <w:rPr>
          <w:rFonts w:hint="eastAsia"/>
          <w:kern w:val="0"/>
          <w:lang w:val="en-US" w:eastAsia="zh-CN"/>
        </w:rPr>
        <w:t>全会深入学习贯彻党的二十届四中全会精神和习近平总书记在福建考察时的重要讲话精神，听取和讨论了周祖翼受省委常委会委托所作的工作报告，审议通过了《中共福建省委关于制定福建省国民经济和社会发展第十五个五年规划的建议》。周祖翼就《建议（讨论稿）》向全会作了说明。</w:t>
      </w:r>
    </w:p>
    <w:p>
      <w:pPr>
        <w:spacing w:line="320" w:lineRule="exact"/>
        <w:jc w:val="left"/>
        <w:rPr>
          <w:rFonts w:hint="eastAsia"/>
          <w:kern w:val="0"/>
          <w:lang w:val="en-US" w:eastAsia="zh-CN"/>
        </w:rPr>
      </w:pPr>
      <w:r>
        <w:rPr>
          <w:rFonts w:hint="eastAsia"/>
          <w:kern w:val="0"/>
          <w:lang w:val="en-US" w:eastAsia="zh-CN"/>
        </w:rPr>
        <w:t>全会认为，党的二十届四中全会，是在即将进入基本实现社会主义现代化夯实基础、全面发力的关键时期召开的一次十分重要的会议。习近平总书记在全会上的重要讲话，明确了推动未来5年乃至更长一段时期经济社会发展的一系列方向性、根本性重大问题，为推动高质量发展、推进中国式现代化提供了科学指南和重要遵循。全会通过的《建议》，是指导“十五五”时期经济社会发展的纲领性文件，是乘势而上、接续推进中国式现代化建设的又一次总动员、总部署。要把学习好贯彻好党的二十届四中全会精神作为当前和今后一个时期的重大政治任务，与学思践悟习近平新时代中国特色社会主义思想相结合，与传承弘扬习近平总书记在福建工作期间的重要理念和重大实践相结合，与贯彻落实习近平总书记对福建工作的重要讲话重要指示批示精神相结合，在对标对表、融会贯通、知行合一中深刻理解把握，持续兴起学习贯彻热潮，切实把思想和行动统一到党中央决策部署上来。</w:t>
      </w:r>
    </w:p>
    <w:p>
      <w:pPr>
        <w:spacing w:line="320" w:lineRule="exact"/>
        <w:jc w:val="left"/>
        <w:rPr>
          <w:rFonts w:hint="eastAsia"/>
          <w:kern w:val="0"/>
          <w:lang w:val="en-US" w:eastAsia="zh-CN"/>
        </w:rPr>
      </w:pPr>
      <w:r>
        <w:rPr>
          <w:rFonts w:hint="eastAsia"/>
          <w:kern w:val="0"/>
          <w:lang w:val="en-US" w:eastAsia="zh-CN"/>
        </w:rPr>
        <w:t>全会充分肯定了今年以来省委常委会的工作。一致认为，省委常委会深入学习贯彻习近平总书记在福建考察时的重要讲话精神，持续深化拓展“深学争优、敢为争先、实干争效”行动，全方位推动高质量发展，推动经济发展稳中有进、稳中向好，推动科技创新和产业创新深度融合，进一步全面深化改革和扩大高水平开放，推动区域协调发展和城乡融合发展，提升文化影响力、展示福建新形象，积极探索海峡两岸融合发展新路，深入推进社会主义民主法治建设，切实抓好民生保障和生态环境保护，纵深推进全面从严治党，扎实开展深入贯彻中央八项规定精神学习教育，“十四五”主要目标任务即将顺利完成。</w:t>
      </w:r>
    </w:p>
    <w:p>
      <w:pPr>
        <w:spacing w:line="320" w:lineRule="exact"/>
        <w:jc w:val="left"/>
        <w:rPr>
          <w:rFonts w:hint="eastAsia"/>
          <w:kern w:val="0"/>
          <w:lang w:val="en-US" w:eastAsia="zh-CN"/>
        </w:rPr>
      </w:pPr>
      <w:r>
        <w:rPr>
          <w:rFonts w:hint="eastAsia"/>
          <w:kern w:val="0"/>
          <w:lang w:val="en-US" w:eastAsia="zh-CN"/>
        </w:rPr>
        <w:t>全会高度评价“十四五”时期新福建建设取得的重大成就。一致认为，“十四五”时期是福建发展历程中极不寻常、极不平凡的五年。五年来，习近平总书记在“十四五”开局之年、新福建建设十周年的关键节点，两次莅临福建考察并发表重要讲话，为新时代新福建建设把脉定向、指路引航。五年来，以习近平同志为核心的党中央支持福建全方位推动高质量发展，探索海峡两岸融合发展新路、建设两岸融合发展示范区，为新时代新福建建设提供重大机遇、注入强大动力。五年来，省委坚持以习近平新时代中国特色社会主义思想为指导，坚决贯彻落实习近平总书记重要讲话重要指示批示精神和党中央决策部署，团结带领全省人民攻坚克难、砥砺前行，经受住世纪疫情严重冲击，有效应对一系列重大风险挑战，推动机制活、产业优、百姓富、生态美的新福建建设取得新的重大成就。福建在新时代改革发展中续写蝶变华章，在第二个百年奋斗目标新征程中实现良好开局。实践充分证明，“两个确立”是新时代的最重大政治成果、最重要历史经验、最客观实践结论，是党和人民应对一切不确定性的最大确定性、最大底气、最大保证,对新时代党和国家事业发展、对推进中华民族伟大复兴历史进程具有决定性意义。</w:t>
      </w:r>
    </w:p>
    <w:p>
      <w:pPr>
        <w:spacing w:line="320" w:lineRule="exact"/>
        <w:jc w:val="left"/>
        <w:rPr>
          <w:rFonts w:hint="eastAsia"/>
          <w:kern w:val="0"/>
          <w:lang w:val="en-US" w:eastAsia="zh-CN"/>
        </w:rPr>
      </w:pPr>
      <w:r>
        <w:rPr>
          <w:rFonts w:hint="eastAsia"/>
          <w:kern w:val="0"/>
          <w:lang w:val="en-US" w:eastAsia="zh-CN"/>
        </w:rPr>
        <w:t>全会指出，“十五五”时期是福建在中国式现代化建设中奋勇争先的关键时期。福建发展环境面临深刻复杂变化，战略机遇与风险挑战并存、不确定难预料因素增多。要深刻领悟“两个确立”的决定性意义，增强“四个意识”、坚定“四个自信”、做到“两个维护”，保持战略定力，增强必胜信心，辩证看待新征程上的危与机，以历史主动精神克难关、战风险、迎挑战，集中力量办好自己的事，凝心聚力、善作善成。要扭住目标不放松，一张蓝图绘到底，紧紧围绕在中国式现代化建设中奋勇争先，积极服务全国发展大局、服务中央对台工作大局，聚力补强科技创新、产业结构、居民收入及民生社会事业等三大短板，统筹深化改革和扩大开放、统筹区域协调和城乡融合、统筹经济发展和生态保护、统筹高质量发展和高水平安全，承前启后、继往开来，夯实基础、全面发力，奋勇争先、再上台阶，奋力开创中国式现代化福建实践新局面。</w:t>
      </w:r>
    </w:p>
    <w:p>
      <w:pPr>
        <w:spacing w:line="320" w:lineRule="exact"/>
        <w:jc w:val="left"/>
        <w:rPr>
          <w:rFonts w:hint="eastAsia"/>
          <w:kern w:val="0"/>
          <w:lang w:val="en-US" w:eastAsia="zh-CN"/>
        </w:rPr>
      </w:pPr>
      <w:r>
        <w:rPr>
          <w:rFonts w:hint="eastAsia"/>
          <w:kern w:val="0"/>
          <w:lang w:val="en-US" w:eastAsia="zh-CN"/>
        </w:rPr>
        <w:t>全会强调，“十五五”时期福建经济社会发展，必须坚持马克思列宁主义、毛泽东思想、邓小平理论、“三个代表”重要思想、科学发展观，全面贯彻习近平新时代中国特色社会主义思想，深入贯彻党的二十大和二十届历次全会精神，全面落实习近平总书记对福建工作的重要讲话重要指示批示精神，紧紧围绕在中国式现代化建设中奋勇争先，奋力谱写机制活、产业优、百姓富、生态美的新福建建设新篇章这一主线，高质量推进两岸融合发展示范区建设这一使命，统筹推进“五位一体”总体布局，协调推进“四个全面”战略布局，完整准确全面贯彻新发展理念，积极服务和深度融入新发展格局，坚持稳中求进工作总基调，坚持以经济建设为中心，以全方位推动高质量发展为主题，以改革创新为根本动力，以满足人民群众日益增长的美好生活需要为根本目的，以全面从严治党为根本保障，努力在推动科技创新和产业创新深度融合上闯出新路，在全面深化改革、扩大高水平开放上奋勇争先，在推动区域协调发展和城乡融合发展上作出示范，在提升文化影响力、展示福建新形象上久久为功，推动经济实现质的有效提升和量的合理增长，推动人的全面发展、全体人民共同富裕迈出坚实步伐，确保基本实现社会主义现代化取得决定性进展。</w:t>
      </w:r>
    </w:p>
    <w:p>
      <w:pPr>
        <w:spacing w:line="320" w:lineRule="exact"/>
        <w:jc w:val="left"/>
        <w:rPr>
          <w:rFonts w:hint="eastAsia"/>
          <w:kern w:val="0"/>
          <w:lang w:val="en-US" w:eastAsia="zh-CN"/>
        </w:rPr>
      </w:pPr>
      <w:r>
        <w:rPr>
          <w:rFonts w:hint="eastAsia"/>
          <w:kern w:val="0"/>
          <w:lang w:val="en-US" w:eastAsia="zh-CN"/>
        </w:rPr>
        <w:t>全会指出，“十五五”时期福建经济社会发展必须遵循以下原则，坚持党的全面领导，坚持人民至上，坚持高质量发展，坚持全面深化改革，坚持有效市场和有为政府相结合，坚持统筹发展和安全；把握以下要求，必须坚持不懈用习近平新时代中国特色社会主义思想凝心铸魂、勇争强化理论武装之先，必须坚决扛牢党中央赋予的重大使命、勇争服务国家战略之先，必须切实担起经济大省挑大梁的重大责任、勇争推动高质量发展之先，必须把改革精神改革思维改革方法贯穿始终、勇争推进体制机制创新之先，必须探索具有福建特色的共同富裕之路、勇争践行党的根本宗旨之先，必须激发争优争先争效的昂扬斗志、勇争锻造过硬作风之先。</w:t>
      </w:r>
    </w:p>
    <w:p>
      <w:pPr>
        <w:spacing w:line="320" w:lineRule="exact"/>
        <w:jc w:val="left"/>
        <w:rPr>
          <w:rFonts w:hint="eastAsia"/>
          <w:kern w:val="0"/>
          <w:lang w:val="en-US" w:eastAsia="zh-CN"/>
        </w:rPr>
      </w:pPr>
      <w:r>
        <w:rPr>
          <w:rFonts w:hint="eastAsia"/>
          <w:kern w:val="0"/>
          <w:lang w:val="en-US" w:eastAsia="zh-CN"/>
        </w:rPr>
        <w:t>全会提出了“十五五”时期福建经济社会发展的主要目标：高质量发展取得新成效，改革开放形成新优势，两岸融合发展取得新成果，文化影响力达到新水平，高品质生活实现新提升，高颜值生态展现新面貌，高效能治理得到新加强，人均地区生产总值接近或达到中等发达国家水平。在此基础上再奋斗五年，到二〇三五年全省经济实力、科技实力、综合竞争力大幅跃升，人民生活更加幸福美好，在基本实现社会主义现代化中走在前列。</w:t>
      </w:r>
    </w:p>
    <w:p>
      <w:pPr>
        <w:spacing w:line="320" w:lineRule="exact"/>
        <w:jc w:val="left"/>
        <w:rPr>
          <w:rFonts w:hint="eastAsia"/>
          <w:kern w:val="0"/>
          <w:lang w:val="en-US" w:eastAsia="zh-CN"/>
        </w:rPr>
      </w:pPr>
      <w:r>
        <w:rPr>
          <w:rFonts w:hint="eastAsia"/>
          <w:kern w:val="0"/>
          <w:lang w:val="en-US" w:eastAsia="zh-CN"/>
        </w:rPr>
        <w:t>全会提出，做实做强做优实体经济，加快构建体现福建特色现代化产业体系。坚持把发展经济的着力点放在实体经济上，加快建设制造强省，打造“555X”产业集群，推动形成万亿立柱、千亿提升、百亿成势的发展格局；实施服务业扩能提质行动，促进服务业优质高效发展；牢固树立和践行大食物观，提高特色现代农业发展水平；打造交通网、能源保障网、大水网、信息网、物流网等“五张网”，构建现代化基础设施体系，夯实在中国式现代化建设中奋勇争先的物质技术基础。</w:t>
      </w:r>
    </w:p>
    <w:p>
      <w:pPr>
        <w:spacing w:line="320" w:lineRule="exact"/>
        <w:jc w:val="left"/>
        <w:rPr>
          <w:rFonts w:hint="eastAsia"/>
          <w:kern w:val="0"/>
          <w:lang w:val="en-US" w:eastAsia="zh-CN"/>
        </w:rPr>
      </w:pPr>
      <w:r>
        <w:rPr>
          <w:rFonts w:hint="eastAsia"/>
          <w:kern w:val="0"/>
          <w:lang w:val="en-US" w:eastAsia="zh-CN"/>
        </w:rPr>
        <w:t>全会提出，推动科技创新和产业创新深度融合，引领发展新质生产力。坚持以科技创新引领产业创新、以产业创新推动科技创新，提高福厦泉国家自主创新示范区创新引领能力，强化高质量科技供给，打造面向未来、辐射全省的创新策源地；强化企业创新主体地位，打造企业主导、多元协同的产业创新聚集地；强化科技成果转化应用，打造面向全国、链接全球的成果转化优选地，一体推进教育科技人才发展，深入推进数字福建建设，强化在中国式现代化建设中奋勇争先的科技支撑。</w:t>
      </w:r>
    </w:p>
    <w:p>
      <w:pPr>
        <w:spacing w:line="320" w:lineRule="exact"/>
        <w:jc w:val="left"/>
        <w:rPr>
          <w:rFonts w:hint="eastAsia"/>
          <w:kern w:val="0"/>
          <w:lang w:val="en-US" w:eastAsia="zh-CN"/>
        </w:rPr>
      </w:pPr>
      <w:r>
        <w:rPr>
          <w:rFonts w:hint="eastAsia"/>
          <w:kern w:val="0"/>
          <w:lang w:val="en-US" w:eastAsia="zh-CN"/>
        </w:rPr>
        <w:t>全会提出，深入实施扩大内需战略，积极服务和深度融入新发展格局。坚持惠民生和促消费、投资于物和投资于人紧密结合，深入实施提振消费专项行动，完善福品推广体系，加快释放消费潜能；持续扩大有效投资，提高民间投资比重；主动融入全国统一大市场建设，规范地方政府经济促进行为，筑牢在中国式现代化建设中奋勇争先的战略依托。</w:t>
      </w:r>
    </w:p>
    <w:p>
      <w:pPr>
        <w:spacing w:line="320" w:lineRule="exact"/>
        <w:jc w:val="left"/>
        <w:rPr>
          <w:rFonts w:hint="eastAsia"/>
          <w:kern w:val="0"/>
          <w:lang w:val="en-US" w:eastAsia="zh-CN"/>
        </w:rPr>
      </w:pPr>
      <w:r>
        <w:rPr>
          <w:rFonts w:hint="eastAsia"/>
          <w:kern w:val="0"/>
          <w:lang w:val="en-US" w:eastAsia="zh-CN"/>
        </w:rPr>
        <w:t>全会提出，构建高水平社会主义市场经济体制，增强高质量发展动力。坚持发挥经济体制改革牵引作用，持续深化国资国企改革，创新和发展“晋江经验”、纵深推进新时代民营经济强省战略，加快完善要素市场化配置体制机制，对标国际国内先进水平、打造一流营商环境，提升经济治理效能，推动有效市场和有为政府更好结合，激发在中国式现代化建设中奋勇争先的强劲动力。</w:t>
      </w:r>
    </w:p>
    <w:p>
      <w:pPr>
        <w:spacing w:line="320" w:lineRule="exact"/>
        <w:jc w:val="left"/>
        <w:rPr>
          <w:rFonts w:hint="eastAsia"/>
          <w:kern w:val="0"/>
          <w:lang w:val="en-US" w:eastAsia="zh-CN"/>
        </w:rPr>
      </w:pPr>
      <w:r>
        <w:rPr>
          <w:rFonts w:hint="eastAsia"/>
          <w:kern w:val="0"/>
          <w:lang w:val="en-US" w:eastAsia="zh-CN"/>
        </w:rPr>
        <w:t>全会提出，扩大高水平对外开放，拓展高质量发展新空间。坚持以开放促改革促发展，稳步扩大制度型开放，深入实施自由贸易试验区提升战略，高质量建设二十一世纪海上丝绸之路核心区，增强中国国际投资贸易洽谈会等平台投资促进功能，推动贸易创新发展，强化双向投资合作，打好新时代新“侨牌”，增创在中国式现代化建设中奋勇争先的开放合作新优势。</w:t>
      </w:r>
    </w:p>
    <w:p>
      <w:pPr>
        <w:spacing w:line="320" w:lineRule="exact"/>
        <w:jc w:val="left"/>
        <w:rPr>
          <w:rFonts w:hint="eastAsia"/>
          <w:kern w:val="0"/>
          <w:lang w:val="en-US" w:eastAsia="zh-CN"/>
        </w:rPr>
      </w:pPr>
      <w:r>
        <w:rPr>
          <w:rFonts w:hint="eastAsia"/>
          <w:kern w:val="0"/>
          <w:lang w:val="en-US" w:eastAsia="zh-CN"/>
        </w:rPr>
        <w:t>全会提出，高质量推进两岸融合发展示范区建设，更好服务祖国统一大业。深入贯彻新时代党解决台湾问题的总体方略，坚持以通促融、以惠促融、以情促融，深化社会融合、经贸融合、情感融合，推动打造两岸共同家园、建设两岸共同市场、弘扬两岸共同文化，构建全域融合新格局，践行在中国式现代化建设中奋勇争先的重大使命。</w:t>
      </w:r>
    </w:p>
    <w:p>
      <w:pPr>
        <w:spacing w:line="320" w:lineRule="exact"/>
        <w:jc w:val="left"/>
        <w:rPr>
          <w:rFonts w:hint="eastAsia"/>
          <w:kern w:val="0"/>
          <w:lang w:val="en-US" w:eastAsia="zh-CN"/>
        </w:rPr>
      </w:pPr>
      <w:r>
        <w:rPr>
          <w:rFonts w:hint="eastAsia"/>
          <w:kern w:val="0"/>
          <w:lang w:val="en-US" w:eastAsia="zh-CN"/>
        </w:rPr>
        <w:t>全会提出，优化区域经济布局，提升区域协调发展水平。坚持区域差异化特色化协同发展，优化国土空间格局，深入实施新时代山海协作，推进高水平海上福建建设，推进老区苏区全面振兴，促进区域交流合作，构建沿海人口经济集中集聚、山区生态重点保护、山海之间协同联动的区域发展格局，拓展在中国式现代化建设中奋勇争先的广阔空间。</w:t>
      </w:r>
    </w:p>
    <w:p>
      <w:pPr>
        <w:spacing w:line="320" w:lineRule="exact"/>
        <w:jc w:val="left"/>
        <w:rPr>
          <w:rFonts w:hint="eastAsia"/>
          <w:kern w:val="0"/>
          <w:lang w:val="en-US" w:eastAsia="zh-CN"/>
        </w:rPr>
      </w:pPr>
      <w:r>
        <w:rPr>
          <w:rFonts w:hint="eastAsia"/>
          <w:kern w:val="0"/>
          <w:lang w:val="en-US" w:eastAsia="zh-CN"/>
        </w:rPr>
        <w:t>全会提出，统筹推进新型城镇化和乡村全面振兴，加快城乡融合发展步伐。坚持以工补农、以城带乡、协调发展、共同繁荣，以县域为重点统筹推进城乡融合发展，联动推进优城、强县、兴村，提升福州都市圈、厦漳泉都市圈同城化水平，深入推进以人为本的新型城镇化，全面提升城市能级，发展壮大县域经济，深入实施“千村示范引领、万村共富共美”工程、加快建设宜居宜业和美乡村，释放在中国式现代化建设中奋勇争先的巨大潜能。</w:t>
      </w:r>
    </w:p>
    <w:p>
      <w:pPr>
        <w:spacing w:line="320" w:lineRule="exact"/>
        <w:jc w:val="left"/>
        <w:rPr>
          <w:rFonts w:hint="eastAsia"/>
          <w:kern w:val="0"/>
          <w:lang w:val="en-US" w:eastAsia="zh-CN"/>
        </w:rPr>
      </w:pPr>
      <w:r>
        <w:rPr>
          <w:rFonts w:hint="eastAsia"/>
          <w:kern w:val="0"/>
          <w:lang w:val="en-US" w:eastAsia="zh-CN"/>
        </w:rPr>
        <w:t>全会提出，激发文化创新创造活力，建设更高水平文化强省。坚定文化自信，坚持守正创新，坚持不懈做好以文化人工作，加快建设社科强省；打造“闽派”文艺精品和文化品牌，促进闽都文化、闽南文化、客家文化和朱子文化、妈祖文化、海丝文化等创造性转化、创新性发展；实施全域文旅提升战略，培育文化旅游支柱产业，打造世界知名旅游目的地；加强国际传播能力建设，全面展现新时代八闽文化的气韵和风采，凝聚在中国式现代化建设中奋勇争先的强大精神力量。</w:t>
      </w:r>
    </w:p>
    <w:p>
      <w:pPr>
        <w:spacing w:line="320" w:lineRule="exact"/>
        <w:jc w:val="left"/>
        <w:rPr>
          <w:rFonts w:hint="eastAsia"/>
          <w:kern w:val="0"/>
          <w:lang w:val="en-US" w:eastAsia="zh-CN"/>
        </w:rPr>
      </w:pPr>
      <w:r>
        <w:rPr>
          <w:rFonts w:hint="eastAsia"/>
          <w:kern w:val="0"/>
          <w:lang w:val="en-US" w:eastAsia="zh-CN"/>
        </w:rPr>
        <w:t>全会提出，加大保障和改善民生力度，推动共同富裕迈出坚实步伐。坚持人民至上，尽力而为、量力而行，加强普惠性、基础性、兜底性民生建设，优先抓好民生领域各项改革，深入实施就业优先战略，提高人民收入水平，加快建设教育强省，健全社会保障体系，推动房地产高质量发展，推进健康福建建设，促进人口高质量发展，稳步推进基本公共服务均等化，厚植在中国式现代化建设中奋勇争先的民生根基。</w:t>
      </w:r>
    </w:p>
    <w:p>
      <w:pPr>
        <w:spacing w:line="320" w:lineRule="exact"/>
        <w:jc w:val="left"/>
        <w:rPr>
          <w:rFonts w:hint="eastAsia"/>
          <w:kern w:val="0"/>
          <w:lang w:val="en-US" w:eastAsia="zh-CN"/>
        </w:rPr>
      </w:pPr>
      <w:r>
        <w:rPr>
          <w:rFonts w:hint="eastAsia"/>
          <w:kern w:val="0"/>
          <w:lang w:val="en-US" w:eastAsia="zh-CN"/>
        </w:rPr>
        <w:t>全会提出，持续深化生态省建设，谱写美丽中国建设福建篇章。牢固树立和践行绿水青山就是金山银山理念，接续推进国家生态文明试验区建设，扎实推进全国深化集体林权制度改革先行区建设，加快构建从山顶到海洋的保护治理大格局，加快建设新型能源体系、协同推进“风光储氢核”发展，积极稳妥推进和实现碳达峰，加快形成绿色生产生活方式，巩固绿水青山优势，厚植金山银山潜力，擦亮在中国式现代化建设中奋勇争先的绿色底色。</w:t>
      </w:r>
    </w:p>
    <w:p>
      <w:pPr>
        <w:spacing w:line="320" w:lineRule="exact"/>
        <w:jc w:val="left"/>
        <w:rPr>
          <w:rFonts w:hint="eastAsia"/>
          <w:kern w:val="0"/>
          <w:lang w:val="en-US" w:eastAsia="zh-CN"/>
        </w:rPr>
      </w:pPr>
      <w:r>
        <w:rPr>
          <w:rFonts w:hint="eastAsia"/>
          <w:kern w:val="0"/>
          <w:lang w:val="en-US" w:eastAsia="zh-CN"/>
        </w:rPr>
        <w:t>全会提出，统筹发展和安全，建设更高水平平安福建。坚定不移贯彻总体国家安全观，加快推进国家安全体系和能力现代化，筑牢重点领域安全防线，强化公共安全保障，完善社会治理体系，积极服务国防和军队现代化建设，打造社会更加有序、基础更加牢固、治理更加有效、人民更加满意的平安福地，巩固在中国式现代化建设中奋勇争先的安全屏障。</w:t>
      </w:r>
    </w:p>
    <w:p>
      <w:pPr>
        <w:spacing w:line="320" w:lineRule="exact"/>
        <w:jc w:val="left"/>
        <w:rPr>
          <w:rFonts w:hint="eastAsia"/>
          <w:kern w:val="0"/>
          <w:lang w:val="en-US" w:eastAsia="zh-CN"/>
        </w:rPr>
      </w:pPr>
      <w:r>
        <w:rPr>
          <w:rFonts w:hint="eastAsia"/>
          <w:kern w:val="0"/>
          <w:lang w:val="en-US" w:eastAsia="zh-CN"/>
        </w:rPr>
        <w:t>全会强调，全省各级党组织和广大党员、干部群众要为实现“十五五”规划团结奋斗。坚持和加强党的全面领导，深化拓展全过程人民民主实践，深化法治福建建设，健全规划制定和落实机制，充分调动全社会积极性主动性创造性，激发全社会干事创业、创新创造活力，形成在中国式现代化建设中奋勇争先的强大合力。</w:t>
      </w:r>
    </w:p>
    <w:p>
      <w:pPr>
        <w:spacing w:line="320" w:lineRule="exact"/>
        <w:jc w:val="left"/>
        <w:rPr>
          <w:rFonts w:hint="eastAsia"/>
          <w:kern w:val="0"/>
          <w:lang w:val="en-US" w:eastAsia="zh-CN"/>
        </w:rPr>
      </w:pPr>
      <w:r>
        <w:rPr>
          <w:rFonts w:hint="eastAsia"/>
          <w:kern w:val="0"/>
          <w:lang w:val="en-US" w:eastAsia="zh-CN"/>
        </w:rPr>
        <w:t>全会强调，坚决把党的自我革命要求落实到位，持之以恒推进全面从严治党，持续鼓足“争”的劲头，大力锻造“实”的作风，始终坚持“严”的基调，打造党性过硬、视野开阔、善于创新、真抓实干的干部队伍，巩固发展风清气正的良好政治生态，为在中国式现代化建设中奋勇争先提供根本保证。全省各级领导干部要带头向谷文昌、廖俊波等同志学习，牢固树立和践行造福人民的政绩观，大力发扬敢为人先、爱拼会赢的拼搏精神，传承弘扬“马上就办、真抓实干”优良作风，全面落实“四下基层”制度，不忘初心、担当作为、廉洁奉公，奋力争一争、拼一拼、搏一搏，争出福建一个更加美好的未来。</w:t>
      </w:r>
    </w:p>
    <w:p>
      <w:pPr>
        <w:spacing w:line="320" w:lineRule="exact"/>
        <w:jc w:val="left"/>
        <w:rPr>
          <w:rFonts w:hint="eastAsia"/>
          <w:kern w:val="0"/>
          <w:lang w:val="en-US" w:eastAsia="zh-CN"/>
        </w:rPr>
      </w:pPr>
      <w:r>
        <w:rPr>
          <w:rFonts w:hint="eastAsia"/>
          <w:kern w:val="0"/>
          <w:lang w:val="en-US" w:eastAsia="zh-CN"/>
        </w:rPr>
        <w:t>全会强调，要统筹做好岁末年初各项工作。坚决实现全年经济社会发展目标，着力稳就业、稳企业、稳市场、稳预期，巩固拓展经济回升向好势头。切实抓好民生保障、安全生产和维护稳定工作，确保社会大局稳定。谋深谋实明年思路举措，确保开好局、起好步。</w:t>
      </w:r>
    </w:p>
    <w:p>
      <w:pPr>
        <w:spacing w:line="320" w:lineRule="exact"/>
        <w:jc w:val="left"/>
        <w:rPr>
          <w:rFonts w:hint="eastAsia"/>
          <w:kern w:val="0"/>
          <w:lang w:val="en-US" w:eastAsia="zh-CN"/>
        </w:rPr>
      </w:pPr>
      <w:r>
        <w:rPr>
          <w:rFonts w:hint="eastAsia"/>
          <w:kern w:val="0"/>
          <w:lang w:val="en-US" w:eastAsia="zh-CN"/>
        </w:rPr>
        <w:t>全会号召，全省各级党组织和广大党员、干部群众要更加紧密地团结在以习近平同志为核心的党中央周围，牢记嘱托、砥砺前行，乘势而上、团结奋斗，扭住目标不放松，一张蓝图绘到底，全方位推动高质量发展，在中国式现代化建设中奋勇争先，奋力谱写新征程新福建建设新篇章。</w:t>
      </w:r>
    </w:p>
    <w:p>
      <w:pPr>
        <w:spacing w:line="320" w:lineRule="exact"/>
        <w:rPr>
          <w:rFonts w:hint="eastAsia"/>
          <w:kern w:val="0"/>
        </w:rPr>
      </w:pPr>
      <w:r>
        <w:rPr>
          <w:rFonts w:hint="eastAsia"/>
          <w:kern w:val="0"/>
        </w:rPr>
        <w:t>（来源：</w:t>
      </w:r>
      <w:r>
        <w:rPr>
          <w:rFonts w:hint="eastAsia"/>
          <w:kern w:val="0"/>
          <w:szCs w:val="26"/>
        </w:rPr>
        <w:t>福建日报·新福建客户端</w:t>
      </w:r>
      <w:r>
        <w:rPr>
          <w:rFonts w:hint="eastAsia"/>
          <w:kern w:val="0"/>
        </w:rPr>
        <w:t>）</w:t>
      </w: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pStyle w:val="3"/>
        <w:spacing w:after="0"/>
        <w:rPr>
          <w:rFonts w:hint="eastAsia"/>
        </w:rPr>
      </w:pPr>
      <w:r>
        <w:rPr>
          <w:rFonts w:hint="eastAsia"/>
        </w:rPr>
        <w:t>中共福建省委关于制定福建省国民经济和社会发展第十五个五年规划的建议</w:t>
      </w:r>
    </w:p>
    <w:p>
      <w:pPr>
        <w:pStyle w:val="3"/>
        <w:spacing w:after="0"/>
        <w:rPr>
          <w:rFonts w:hint="eastAsia"/>
          <w:sz w:val="28"/>
          <w:szCs w:val="28"/>
        </w:rPr>
      </w:pPr>
      <w:r>
        <w:rPr>
          <w:rFonts w:hint="eastAsia"/>
          <w:sz w:val="28"/>
          <w:szCs w:val="28"/>
        </w:rPr>
        <w:t>（2025年11月20日中国共产党福建省第十一届委员会第九次全体会议通过）</w:t>
      </w:r>
    </w:p>
    <w:p>
      <w:pPr>
        <w:pStyle w:val="3"/>
        <w:spacing w:after="0"/>
        <w:rPr>
          <w:rFonts w:hint="eastAsia"/>
          <w:sz w:val="28"/>
          <w:szCs w:val="28"/>
        </w:rPr>
      </w:pPr>
    </w:p>
    <w:p>
      <w:pPr>
        <w:spacing w:line="320" w:lineRule="exact"/>
        <w:rPr>
          <w:rFonts w:hint="eastAsia"/>
          <w:kern w:val="0"/>
        </w:rPr>
      </w:pPr>
      <w:r>
        <w:rPr>
          <w:rFonts w:hint="eastAsia"/>
          <w:kern w:val="0"/>
        </w:rPr>
        <w:t>中国共产党福建省第十一届委员会第九次全体会议，认真学习贯彻党的二十届四中全会精神，紧密结合福建实际，就制定福建省国民经济和社会发展第十五个五年规划提出以下建议。</w:t>
      </w:r>
    </w:p>
    <w:p>
      <w:pPr>
        <w:spacing w:line="320" w:lineRule="exact"/>
        <w:rPr>
          <w:rFonts w:hint="eastAsia"/>
          <w:kern w:val="0"/>
        </w:rPr>
      </w:pPr>
      <w:r>
        <w:rPr>
          <w:rFonts w:hint="eastAsia"/>
          <w:kern w:val="0"/>
        </w:rPr>
        <w:t>一、“十五五”时期是福建在中国式现代化建设中奋勇争先的关键时期</w:t>
      </w:r>
    </w:p>
    <w:p>
      <w:pPr>
        <w:spacing w:line="320" w:lineRule="exact"/>
        <w:rPr>
          <w:rFonts w:hint="eastAsia"/>
          <w:kern w:val="0"/>
        </w:rPr>
      </w:pPr>
      <w:r>
        <w:rPr>
          <w:rFonts w:hint="eastAsia"/>
          <w:kern w:val="0"/>
        </w:rPr>
        <w:t>1.“十四五”时期新福建建设取得重大成就。“十四五”时期是福建发展历程中极不寻常、极不平凡的五年。五年来，习近平总书记在“十四五”开局之年、新福建建设十周年的关键节点，两次莅临福建考察并发表重要讲话，为新时代新福建建设把脉定向、指路引航。五年来，以习近平同志为核心的党中央支持福建全方位推动高质量发展，探索海峡两岸融合发展新路、建设两岸融合发展示范区，为新时代新福建建设提供重大机遇、注入强大动力。五年来，面对错综复杂的国际形势和艰巨繁重的改革发展稳定任务，省委坚持以习近平新时代中国特色社会主义思想为指导，坚决贯彻落实习近平总书记重要讲话重要指示批示精神和党中央决策部署，团结带领全省人民攻坚克难、砥砺前行，经受住世纪疫情严重冲击，有效应对一系列重大风险挑战，推动机制活、产业优、百姓富、生态美的新福建建设取得新的重大成就。进一步全面深化改革有力推进，林改、医改等特色改革影响力持续提升，新时代民营经济强省战略深入实施，营商环境建设全面发力。高水平对外开放不断扩大，自由贸易试验区、二十一世纪海上丝绸之路核心区等平台效应凸显，对外交流合作持续拓展。两岸融合发展示范区建设政策体系和工作机制不断完善，全域融合发展格局初步构建。创新驱动成效日益彰显，国家创新型试点省份建设扎实推进，科技创新平台优化提升，新质生产力培育壮大。现代化产业体系加快建设，实体经济根基稳固，新兴产业比重持续提升，数字经济、海洋经济规模保持全国前列。共同富裕扎实推进，城乡居民收入差距持续缩小，基本公共服务更加均衡可及，新时代八闽文化影响力持续提升，法治福建建设持续深化，社会治理效能增强，社会大局保持稳定。美丽福建铺展新画卷，国家生态文明试验区建设不断深化，绿色低碳转型步伐加快，污染防治攻坚战成效突出，生态环境质量保持全国前列，森林覆盖率保持全国第一。全面从严治党成效显著，反腐败斗争纵深推进，风清气正良好政治生态持续巩固。福建在新时代改革发展中续写蝶变华章，在第二个百年奋斗目标新征程中实现良好开局。这些重大成就，充分彰显了“两个确立”的决定性意义，生动诠释了习近平新时代中国特色社会主义思想的真理伟力和实践伟力。</w:t>
      </w:r>
    </w:p>
    <w:p>
      <w:pPr>
        <w:spacing w:line="320" w:lineRule="exact"/>
        <w:rPr>
          <w:rFonts w:hint="eastAsia"/>
          <w:kern w:val="0"/>
        </w:rPr>
      </w:pPr>
      <w:r>
        <w:rPr>
          <w:rFonts w:hint="eastAsia"/>
          <w:kern w:val="0"/>
        </w:rPr>
        <w:t>2.“十五五”时期是新时代新福建建设、推进中国式现代化福建实践的重要阶段。“十五五”时期是承前启后、继往开来的关键时期，必须扭住目标不放松，一张蓝图绘到底，不懈努力、接续奋斗，在基本实现社会主义现代化进程中迈出坚实步伐。“十五五”时期是夯实基础、全面发力的关键时期，必须把握高质量发展爬坡过坎的特征，发挥民营经济、对台、生态、海洋、改革开放、华侨等优势，补强科技创新、产业结构、居民收入及民生社会事业等突出短板，推动事关全局、事关长远的战略任务取得重大突破。“十五五”时期是奋勇争先、再上台阶的关键时期，必须聚焦在中国式现代化建设中奋勇争先，以更高标准、更严要求、更实作风，凝心聚力、善作善成，推动各项事业发展迈上新的更高台阶，进一步彰显福建在全国发展大局中的定位、担当和作用。</w:t>
      </w:r>
    </w:p>
    <w:p>
      <w:pPr>
        <w:spacing w:line="320" w:lineRule="exact"/>
        <w:rPr>
          <w:rFonts w:hint="eastAsia"/>
          <w:kern w:val="0"/>
        </w:rPr>
      </w:pPr>
      <w:r>
        <w:rPr>
          <w:rFonts w:hint="eastAsia"/>
          <w:kern w:val="0"/>
        </w:rPr>
        <w:t>3.“十五五”时期福建发展环境面临深刻复杂变化。当前和今后一个时期，世界之变、时代之变、历史之变正以前所未有的方式展开，福建发展处于战略机遇与风险挑战并存、不确定难预料因素增多的时期。从国际看，世界百年变局加速演进，国际力量对比深刻调整，新一轮科技革命和产业变革加速突破，同时世界变乱交织、动荡加剧，国际经济贸易秩序遇到严峻挑战，大国博弈更加复杂激烈。福建作为改革开放重要省份，既面临我国主动运筹国际空间、扩大高水平对外开放带来的新机遇，也面临外部环境变化带来的冲击和影响。从国内看，我国经济基础稳、优势多、韧性强、潜能大，长期向好的支撑条件和基本趋势没有变，中国特色社会主义制度优势、超大规模市场优势、完整产业体系优势、丰富人才资源优势更加彰显。在推进现代化建设中，福建既面临党中央赋予更大使命、赋能探索新路的新机遇，也面临不进则退、慢进亦退的区域发展态势。从自身看，我省在长期发展中积累了坚实基础，面对人工智能等技术引发新变革、全国统一大市场建设带来新空间、以人为本的新型城镇化激发新潜能、碳达峰碳中和牵引增创新优势，推动高质量发展的潜力巨大、前景广阔。同时，发展不平衡不充分的问题仍然突出，有效需求不足，科技创新能力有待提升，产业结构有待优化，就业和居民收入增长压力加大，民生保障存在短板弱项，人口结构变化给经济发展、社会治理等提出新课题，重点领域还有风险隐患。</w:t>
      </w:r>
    </w:p>
    <w:p>
      <w:pPr>
        <w:spacing w:line="320" w:lineRule="exact"/>
        <w:rPr>
          <w:rFonts w:hint="eastAsia"/>
          <w:kern w:val="0"/>
        </w:rPr>
      </w:pPr>
      <w:r>
        <w:rPr>
          <w:rFonts w:hint="eastAsia"/>
          <w:kern w:val="0"/>
        </w:rPr>
        <w:t>变局蕴含机遇，挑战激发斗志。要深刻领悟“两个确立”的决定性意义，增强“四个意识”、坚定“四个自信”、做到“两个维护”，保持战略定力，增强必胜信心，辩证看待新征程上的危与机，积极识变应变求变，敢于斗争、善于斗争，勇于面对风高浪急甚至惊涛骇浪的重大考验，以历史主动精神克难关、战风险、迎挑战，集中力量办好自己的事，化挑战为机遇、化压力为动力，在危机中育先机、于变局中开新局，奋力开创中国式现代化福建实践新局面。</w:t>
      </w:r>
    </w:p>
    <w:p>
      <w:pPr>
        <w:spacing w:line="320" w:lineRule="exact"/>
        <w:rPr>
          <w:rFonts w:hint="eastAsia"/>
          <w:kern w:val="0"/>
        </w:rPr>
      </w:pPr>
      <w:r>
        <w:rPr>
          <w:rFonts w:hint="eastAsia"/>
          <w:kern w:val="0"/>
        </w:rPr>
        <w:t>二、“十五五”时期福建经济社会发展的总体要求和主要目标</w:t>
      </w:r>
    </w:p>
    <w:p>
      <w:pPr>
        <w:spacing w:line="320" w:lineRule="exact"/>
        <w:rPr>
          <w:rFonts w:hint="eastAsia"/>
          <w:kern w:val="0"/>
        </w:rPr>
      </w:pPr>
      <w:r>
        <w:rPr>
          <w:rFonts w:hint="eastAsia"/>
          <w:kern w:val="0"/>
        </w:rPr>
        <w:t>4.“十五五”时期福建经济社会发展的总体要求。坚持马克思列宁主义、毛泽东思想、邓小平理论、“三个代表”重要思想、科学发展观，全面贯彻习近平新时代中国特色社会主义思想，深入贯彻党的二十大和二十届历次全会精神，全面落实习近平总书记对福建工作的重要讲话重要指示批示精神，紧紧围绕在中国式现代化建设中奋勇争先，奋力谱写机制活、产业优、百姓富、生态美的新福建建设新篇章这一主线，高质量推进两岸融合发展示范区建设这一使命，统筹推进“五位一体”总体布局，协调推进“四个全面”战略布局，完整准确全面贯彻新发展理念，积极服务和深度融入新发展格局，坚持稳中求进工作总基调，坚持以经济建设为中心，以全方位推动高质量发展为主题，以改革创新为根本动力，以满足人民群众日益增长的美好生活需要为根本目的，以全面从严治党为根本保障，努力在推动科技创新和产业创新深度融合上闯出新路，在全面深化改革、扩大高水平开放上奋勇争先，在推动区域协调发展和城乡融合发展上作出示范，在提升文化影响力、展示福建新形象上久久为功，推动经济实现质的有效提升和量的合理增长，推动人的全面发展、全体人民共同富裕迈出坚实步伐，确保基本实现社会主义现代化取得决定性进展。（下转第三版）（上接第一版）</w:t>
      </w:r>
    </w:p>
    <w:p>
      <w:pPr>
        <w:spacing w:line="320" w:lineRule="exact"/>
        <w:rPr>
          <w:rFonts w:hint="eastAsia"/>
          <w:kern w:val="0"/>
        </w:rPr>
      </w:pPr>
      <w:r>
        <w:rPr>
          <w:rFonts w:hint="eastAsia"/>
          <w:kern w:val="0"/>
        </w:rPr>
        <w:t>5.“十五五”时期福建经济社会发展的基本要求。推动“十五五”时期发展，必须坚持党的全面领导，坚持人民至上，坚持高质量发展，坚持全面深化改革，坚持有效市场和有为政府相结合，坚持统筹发展和安全。同时，着眼服务大局，立足福建实际，把握以下要求。</w:t>
      </w:r>
    </w:p>
    <w:p>
      <w:pPr>
        <w:spacing w:line="320" w:lineRule="exact"/>
        <w:rPr>
          <w:rFonts w:hint="eastAsia"/>
          <w:kern w:val="0"/>
        </w:rPr>
      </w:pPr>
      <w:r>
        <w:rPr>
          <w:rFonts w:hint="eastAsia"/>
          <w:kern w:val="0"/>
        </w:rPr>
        <w:t>——必须坚持不懈用习近平新时代中国特色社会主义思想凝心铸魂。发挥福建独特优势，在循迹溯源中深化学思践悟，融会贯通、一体落实习近平总书记对福建工作的重要讲话重要指示批示精神，确保始终沿着习近平总书记指引的方向阔步前进。</w:t>
      </w:r>
    </w:p>
    <w:p>
      <w:pPr>
        <w:spacing w:line="320" w:lineRule="exact"/>
        <w:rPr>
          <w:rFonts w:hint="eastAsia"/>
          <w:kern w:val="0"/>
        </w:rPr>
      </w:pPr>
      <w:r>
        <w:rPr>
          <w:rFonts w:hint="eastAsia"/>
          <w:kern w:val="0"/>
        </w:rPr>
        <w:t>——必须坚决扛牢党中央赋予的重大使命。始终胸怀“国之大者”，把服务国家战略与推动福建发展紧密结合起来，着力在探索海峡两岸融合发展新路上迈出更大步伐，统筹推进重大战略任务、重大改革举措、重大工程项目，构筑引领未来发展战略优势。</w:t>
      </w:r>
    </w:p>
    <w:p>
      <w:pPr>
        <w:spacing w:line="320" w:lineRule="exact"/>
        <w:rPr>
          <w:rFonts w:hint="eastAsia"/>
          <w:kern w:val="0"/>
        </w:rPr>
      </w:pPr>
      <w:r>
        <w:rPr>
          <w:rFonts w:hint="eastAsia"/>
          <w:kern w:val="0"/>
        </w:rPr>
        <w:t>——必须切实担起经济大省挑大梁的重大责任。紧抓高质量发展这个首要任务，在经济社会发展上对标一流、争先进位，因地制宜发展新质生产力，统筹扩大内需和深化供给侧结构性改革，加快培育新动能，促进经济结构优化升级，推动经济社会发展全面绿色转型，以一域之稳促全局之稳、以一域之进促全局之进。</w:t>
      </w:r>
    </w:p>
    <w:p>
      <w:pPr>
        <w:spacing w:line="320" w:lineRule="exact"/>
        <w:rPr>
          <w:rFonts w:hint="eastAsia"/>
          <w:kern w:val="0"/>
        </w:rPr>
      </w:pPr>
      <w:r>
        <w:rPr>
          <w:rFonts w:hint="eastAsia"/>
          <w:kern w:val="0"/>
        </w:rPr>
        <w:t>——必须把改革精神改革思维改革方法贯穿始终。大力弘扬改革开放精神、特区精神，坚持敢为人先、爱拼会赢，大胆试、大胆闯、自主改，加力破解制约高质量发展的体制机制障碍，加快重点领域和关键环节攻坚突破，在改革开放上彰显担当、创造经验，持续增强发展动力和社会活力。</w:t>
      </w:r>
    </w:p>
    <w:p>
      <w:pPr>
        <w:spacing w:line="320" w:lineRule="exact"/>
        <w:rPr>
          <w:rFonts w:hint="eastAsia"/>
          <w:kern w:val="0"/>
        </w:rPr>
      </w:pPr>
      <w:r>
        <w:rPr>
          <w:rFonts w:hint="eastAsia"/>
          <w:kern w:val="0"/>
        </w:rPr>
        <w:t>——必须探索具有福建特色的共同富裕之路。正确处理山与海、城与乡、发展与保护、发展与民生的关系，注重在发展中保障和改善民生，着力缩小区域差距、城乡差别，推动经济和社会协调发展、物质文明和精神文明相得益彰，让现代化建设成果更多更公平惠及全省人民。</w:t>
      </w:r>
    </w:p>
    <w:p>
      <w:pPr>
        <w:spacing w:line="320" w:lineRule="exact"/>
        <w:rPr>
          <w:rFonts w:hint="eastAsia"/>
          <w:kern w:val="0"/>
        </w:rPr>
      </w:pPr>
      <w:r>
        <w:rPr>
          <w:rFonts w:hint="eastAsia"/>
          <w:kern w:val="0"/>
        </w:rPr>
        <w:t>——必须激发争优争先争效的昂扬斗志。持续深学争优、敢为争先、实干争效，引导党员干部在履职尽责的实际行动中锐意进取、开拓创新，进一步明确“先”的目标指向、找准“争”的着力重点、把握“干”的实践要求，奋力打开改革发展新天地。</w:t>
      </w:r>
    </w:p>
    <w:p>
      <w:pPr>
        <w:spacing w:line="320" w:lineRule="exact"/>
        <w:rPr>
          <w:rFonts w:hint="eastAsia"/>
          <w:kern w:val="0"/>
        </w:rPr>
      </w:pPr>
      <w:r>
        <w:rPr>
          <w:rFonts w:hint="eastAsia"/>
          <w:kern w:val="0"/>
        </w:rPr>
        <w:t>6.“十五五”时期福建经济社会发展的主要目标。锚定新福建宏伟蓝图，综合考虑发展趋势和条件，今后五年全省发展要实现以下主要目标。</w:t>
      </w:r>
    </w:p>
    <w:p>
      <w:pPr>
        <w:spacing w:line="320" w:lineRule="exact"/>
        <w:rPr>
          <w:rFonts w:hint="eastAsia"/>
          <w:kern w:val="0"/>
        </w:rPr>
      </w:pPr>
      <w:r>
        <w:rPr>
          <w:rFonts w:hint="eastAsia"/>
          <w:kern w:val="0"/>
        </w:rPr>
        <w:t>——高质量发展取得新成效。经济增长保持在合理区间，人均地区生产总值接近或达到中等发达国家水平，全要素生产率稳步提升，内需对经济增长的主动力作用持续增强，区域创新体系整体效能明显提升，教育科技人才一体发展格局基本形成，新型工业化、信息化、城镇化、农业现代化取得重大进展，发展新质生产力、服务和融入新发展格局、建设现代化经济体系取得突破性进展。</w:t>
      </w:r>
    </w:p>
    <w:p>
      <w:pPr>
        <w:spacing w:line="320" w:lineRule="exact"/>
        <w:rPr>
          <w:rFonts w:hint="eastAsia"/>
          <w:kern w:val="0"/>
        </w:rPr>
      </w:pPr>
      <w:r>
        <w:rPr>
          <w:rFonts w:hint="eastAsia"/>
          <w:kern w:val="0"/>
        </w:rPr>
        <w:t>——改革开放形成新优势。市场经济体制机制更加完善，营商环境水平进入一流行列，新时代民营经济强省建设取得更大成效，全社会投资创业活力充分激发，重点领域和关键环节改革实现新突破，自由贸易试验区、二十一世纪海上丝绸之路核心区等建设取得更多制度型开放成果，更高水平开放型经济新体制基本形成。</w:t>
      </w:r>
    </w:p>
    <w:p>
      <w:pPr>
        <w:spacing w:line="320" w:lineRule="exact"/>
        <w:rPr>
          <w:rFonts w:hint="eastAsia"/>
          <w:kern w:val="0"/>
        </w:rPr>
      </w:pPr>
      <w:r>
        <w:rPr>
          <w:rFonts w:hint="eastAsia"/>
          <w:kern w:val="0"/>
        </w:rPr>
        <w:t>——两岸融合发展取得新成果。两岸融合发展示范区建设成果更加丰硕，台胞台企同等待遇政策体系更加健全，闽台人员往来、贸易投资便利度明显提高，闽台交流合作向更宽领域、更深层次拓展，推动打造两岸共同家园、建设两岸共同市场、弘扬两岸共同文化迈出新的更大步伐，全域融合格局基本形成。</w:t>
      </w:r>
    </w:p>
    <w:p>
      <w:pPr>
        <w:spacing w:line="320" w:lineRule="exact"/>
        <w:rPr>
          <w:rFonts w:hint="eastAsia"/>
          <w:kern w:val="0"/>
        </w:rPr>
      </w:pPr>
      <w:r>
        <w:rPr>
          <w:rFonts w:hint="eastAsia"/>
          <w:kern w:val="0"/>
        </w:rPr>
        <w:t>——文化影响力达到新水平。文化自信更加坚定，主流思想舆论不断巩固壮大，社会主义核心价值观广泛践行，社会文明程度明显提升，八闽文脉有力赓续，文化产品和服务供给能力显著提高，文化旅游业竞争力明显增强，国际人文交流深化拓展，世界知名旅游目的地建设取得更大进展，更高水平文化强省和社科强省建设迈出坚实步伐。</w:t>
      </w:r>
    </w:p>
    <w:p>
      <w:pPr>
        <w:spacing w:line="320" w:lineRule="exact"/>
        <w:rPr>
          <w:rFonts w:hint="eastAsia"/>
          <w:kern w:val="0"/>
        </w:rPr>
      </w:pPr>
      <w:r>
        <w:rPr>
          <w:rFonts w:hint="eastAsia"/>
          <w:kern w:val="0"/>
        </w:rPr>
        <w:t>——高品质生活实现新提升。高质量充分就业取得新进展，居民收入增长与经济增长同步、劳动报酬提高和劳动生产率提高同步，分配结构得到优化，中等收入群体持续扩大，多层次社会保障体系更加健全，基本公共服务均等化水平明显提升。</w:t>
      </w:r>
    </w:p>
    <w:p>
      <w:pPr>
        <w:spacing w:line="320" w:lineRule="exact"/>
        <w:rPr>
          <w:rFonts w:hint="eastAsia"/>
          <w:kern w:val="0"/>
        </w:rPr>
      </w:pPr>
      <w:r>
        <w:rPr>
          <w:rFonts w:hint="eastAsia"/>
          <w:kern w:val="0"/>
        </w:rPr>
        <w:t>——高颜值生态展现新面貌。国家生态文明试验区建设取得新的标志性成果，从山顶到海洋的保护治理大格局基本形成，碳达峰目标如期实现，率先构建清洁低碳安全高效的新能源体系，主要污染物排放总量持续减少，生态环境质量保持全国前列，生态系统多样性稳定性持续性不断提升，绿色生产生活方式广泛形成。</w:t>
      </w:r>
    </w:p>
    <w:p>
      <w:pPr>
        <w:spacing w:line="320" w:lineRule="exact"/>
        <w:rPr>
          <w:rFonts w:hint="eastAsia"/>
          <w:kern w:val="0"/>
        </w:rPr>
      </w:pPr>
      <w:r>
        <w:rPr>
          <w:rFonts w:hint="eastAsia"/>
          <w:kern w:val="0"/>
        </w:rPr>
        <w:t>——高效能治理得到新加强。全过程人民民主制度化、规范化、程序化水平进一步提高，法治福建、平安福建建设扎实推进，国家安全体系和能力进一步加强，重点领域风险得到有效防范化解，社会治理和公共安全治理水平明显提高，发展安全保障更加有力。</w:t>
      </w:r>
    </w:p>
    <w:p>
      <w:pPr>
        <w:spacing w:line="320" w:lineRule="exact"/>
        <w:rPr>
          <w:rFonts w:hint="eastAsia"/>
          <w:kern w:val="0"/>
        </w:rPr>
      </w:pPr>
      <w:r>
        <w:rPr>
          <w:rFonts w:hint="eastAsia"/>
          <w:kern w:val="0"/>
        </w:rPr>
        <w:t>在此基础上再奋斗五年，到二〇三五年全省经济实力、科技实力、综合竞争力大幅跃升，人民生活更加幸福美好，在基本实现社会主义现代化中走在前列。</w:t>
      </w:r>
    </w:p>
    <w:p>
      <w:pPr>
        <w:spacing w:line="320" w:lineRule="exact"/>
        <w:rPr>
          <w:rFonts w:hint="eastAsia"/>
          <w:kern w:val="0"/>
        </w:rPr>
      </w:pPr>
      <w:r>
        <w:rPr>
          <w:rFonts w:hint="eastAsia"/>
          <w:kern w:val="0"/>
        </w:rPr>
        <w:t>三、做实做强做优实体经济，加快构建体现福建特色现代化产业体系</w:t>
      </w:r>
    </w:p>
    <w:p>
      <w:pPr>
        <w:spacing w:line="320" w:lineRule="exact"/>
        <w:rPr>
          <w:rFonts w:hint="eastAsia"/>
          <w:kern w:val="0"/>
        </w:rPr>
      </w:pPr>
      <w:r>
        <w:rPr>
          <w:rFonts w:hint="eastAsia"/>
          <w:kern w:val="0"/>
        </w:rPr>
        <w:t>坚持把发展经济的着力点放在实体经济上，坚持智能化、绿色化、融合化方向，构建以先进制造业为骨干、现代服务业为依托、基础设施为保障的现代化产业体系，夯实在中国式现代化建设中奋勇争先的物质技术基础。</w:t>
      </w:r>
    </w:p>
    <w:p>
      <w:pPr>
        <w:spacing w:line="320" w:lineRule="exact"/>
        <w:rPr>
          <w:rFonts w:hint="eastAsia"/>
          <w:kern w:val="0"/>
        </w:rPr>
      </w:pPr>
      <w:r>
        <w:rPr>
          <w:rFonts w:hint="eastAsia"/>
          <w:kern w:val="0"/>
        </w:rPr>
        <w:t>7.加快建设制造强省。全面推进新型工业化，保持制造业合理比重。加快建设“555X”产业集群，推动形成万亿立柱、千亿提升、百亿成势的发展格局。推动电子信息产业自主化链条化发展、现代化工产业一体化精细化发展、先进装备制造产业高端化智能化发展、现代纺织鞋服产业品牌化高附加值发展、新能源产业全链条多业态融合发展，着力打造5个万亿级产业集群。做强做优新材料、绿色食品、新型冶金、特色轻工、绿色建材与智能家居等5个五千亿级产业集群。发展壮大人工智能与机器人、生物医药、节能环保、低空经济、光电产业等5个千亿级产业集群。聚焦新兴产业和未来产业领域，加快培育若干百亿级产业集群。</w:t>
      </w:r>
    </w:p>
    <w:p>
      <w:pPr>
        <w:spacing w:line="320" w:lineRule="exact"/>
        <w:rPr>
          <w:rFonts w:hint="eastAsia"/>
          <w:kern w:val="0"/>
        </w:rPr>
      </w:pPr>
      <w:r>
        <w:rPr>
          <w:rFonts w:hint="eastAsia"/>
          <w:kern w:val="0"/>
        </w:rPr>
        <w:t>优化提升传统产业，推动重点产业提质升级。深入实施产业基础再造工程和重大技术装备攻关工程。加快制造业数智化转型，发展智能制造、绿色制造、服务型制造，加快产业发展模式和企业组织形态变革。实施产业创新工程，完善产业生态，推进新技术新产品新场景大规模应用示范，加快新兴产业规模化发展。前瞻布局未来产业，建立未来产业投入增长和风险分担机制。促进中小企业专精特新发展，培育独角兽企业、瞪羚企业。深化开发区管理制度改革。持续深化工业园区标准化建设。强化标准引领和质量支撑，完善福建制造品牌建设体系。</w:t>
      </w:r>
    </w:p>
    <w:p>
      <w:pPr>
        <w:spacing w:line="320" w:lineRule="exact"/>
        <w:rPr>
          <w:rFonts w:hint="eastAsia"/>
          <w:kern w:val="0"/>
        </w:rPr>
      </w:pPr>
      <w:r>
        <w:rPr>
          <w:rFonts w:hint="eastAsia"/>
          <w:kern w:val="0"/>
        </w:rPr>
        <w:t>8.促进服务业优质高效发展。实施服务业扩能提质行动，深化福州、厦门服务业扩大开放综合试点，扩大优质经营主体，提高现代服务业与先进制造业、现代农业融合发展水平。大力发展现代物流、工业设计、金融服务、商务服务、信息服务、科技服务等服务业，分领域推进生产性服务业向专业化和价值链高端延伸。大力发展文化旅游、现代商贸、健康养老、居民服务等服务业，促进生活性服务业高品质、多样化、便利化发展。推动服务业数智化转型。加强服务标准和质量品牌建设。健全服务业统计监测体系。</w:t>
      </w:r>
    </w:p>
    <w:p>
      <w:pPr>
        <w:spacing w:line="320" w:lineRule="exact"/>
        <w:rPr>
          <w:rFonts w:hint="eastAsia"/>
          <w:kern w:val="0"/>
        </w:rPr>
      </w:pPr>
      <w:r>
        <w:rPr>
          <w:rFonts w:hint="eastAsia"/>
          <w:kern w:val="0"/>
        </w:rPr>
        <w:t>9.提高特色现代农业发展水平。坚持产量产能、生产生态、增产增收一起抓，统筹发展科技农业、绿色农业、质量农业、品牌农业，把农业建成现代化大产业。加力实施新一轮粮食产能提升行动，加强耕地保护和质量提升，推进高标准农田建设，增强粮食等重要农产品供给保障能力。树立和践行大食物观，坚持农林牧渔并举，发展现代设施农业，推进福海粮仓、森林粮库建设，构建多元化食物供给体系。推进农村一二三产业深度融合，深入推进优势特色产业集群、现代农业产业园、农业产业强镇建设，提升“福农优品”品牌影响力。加快农业关键技术攻关、种业自主创新、农机装备全面升级。稳定土地承包关系，稳步推进二轮承包到期后再延长三十年试点。提高新型农业经营主体发展质量，完善便捷高效的农业社会化服务体系，促进小农户和现代农业发展有机衔接。</w:t>
      </w:r>
    </w:p>
    <w:p>
      <w:pPr>
        <w:spacing w:line="320" w:lineRule="exact"/>
        <w:rPr>
          <w:rFonts w:hint="eastAsia"/>
          <w:kern w:val="0"/>
        </w:rPr>
      </w:pPr>
      <w:r>
        <w:rPr>
          <w:rFonts w:hint="eastAsia"/>
          <w:kern w:val="0"/>
        </w:rPr>
        <w:t>10.构建现代化基础设施体系。适度超前建设新型基础设施，推动传统基础设施更新和数智化改造。加快完善“三纵六横两联”主骨架，加强跨区域统筹布局、跨方式一体衔接，打造现代化立体综合交通网。加力建设新型能源基础设施，强化能源可靠供应能力，打造清洁低碳安全高效能源保障网。增强洪涝灾害防御、水资源统筹调配、城乡供水保障能力，打造安全韧性现代大水网。全面融入国家数据基础设施整体布局，推进网络、算力、数据等新型基础设施建设，打造泛在高效新一代信息网。大力发展多式联运，推进多类型物流枢纽建设，完善城乡配送网络，打造干支仓配一体运行物流网。推进城市平急两用公共基础设施建设。</w:t>
      </w:r>
    </w:p>
    <w:p>
      <w:pPr>
        <w:spacing w:line="320" w:lineRule="exact"/>
        <w:rPr>
          <w:rFonts w:hint="eastAsia"/>
          <w:kern w:val="0"/>
        </w:rPr>
      </w:pPr>
      <w:r>
        <w:rPr>
          <w:rFonts w:hint="eastAsia"/>
          <w:kern w:val="0"/>
        </w:rPr>
        <w:t>四、推动科技创新和产业创新深度融合，引领发展新质生产力</w:t>
      </w:r>
    </w:p>
    <w:p>
      <w:pPr>
        <w:spacing w:line="320" w:lineRule="exact"/>
        <w:rPr>
          <w:rFonts w:hint="eastAsia"/>
          <w:kern w:val="0"/>
        </w:rPr>
      </w:pPr>
      <w:r>
        <w:rPr>
          <w:rFonts w:hint="eastAsia"/>
          <w:kern w:val="0"/>
        </w:rPr>
        <w:t>坚持以科技创新引领产业创新、以产业创新推动科技创新，推动创新链产业链资金链人才链深度融合，着力提升体系化科技创新能力，不断催生新质生产力，强化在中国式现代化建设中奋勇争先的科技支撑。</w:t>
      </w:r>
    </w:p>
    <w:p>
      <w:pPr>
        <w:spacing w:line="320" w:lineRule="exact"/>
        <w:rPr>
          <w:rFonts w:hint="eastAsia"/>
          <w:kern w:val="0"/>
        </w:rPr>
      </w:pPr>
      <w:r>
        <w:rPr>
          <w:rFonts w:hint="eastAsia"/>
          <w:kern w:val="0"/>
        </w:rPr>
        <w:t>11.强化高质量科技供给。前瞻布局基础研究和应用基础研究，强化科学研究、技术开发原始创新导向，形成更多原创成果。完善省级科技资金统筹协调机制，提高基础研究投入比重。深入实施科技重大攻关行动，打好关键核心技术攻坚战。主动对接国家战略科技力量，争创更多高能级科创平台和基地，支持国内外企业、高校、科研院所在闽设立研发机构。完善科创平台系统布局和统筹管理机制，推动省创新实验室提质增效。提高福厦泉国家自主创新示范区创新引领能力，打造高水平区域科技创新中心，打造面向未来、辐射全省的创新策源地。建设大学城、科学城、高新区等区域协同创新共同体。营造更具竞争力的开放创新生态。加强科学技术普及，培育创新文化，弘扬科学家精神。加强科技法治、伦理、诚信、安全建设。</w:t>
      </w:r>
    </w:p>
    <w:p>
      <w:pPr>
        <w:spacing w:line="320" w:lineRule="exact"/>
        <w:rPr>
          <w:rFonts w:hint="eastAsia"/>
          <w:kern w:val="0"/>
        </w:rPr>
      </w:pPr>
      <w:r>
        <w:rPr>
          <w:rFonts w:hint="eastAsia"/>
          <w:kern w:val="0"/>
        </w:rPr>
        <w:t>12.强化企业创新主体地位。围绕重点产业优化创新生态，推动创新资源向企业集聚，打造企业主导、多元协同的产业创新聚集地。支持企业牵头组建创新联合体、更多承担科技攻关任务，深化企业主导的产学研协同创新。支持科技领军企业开放创新资源，推动中小企业融入大企业创新链。健全科技型企业梯次培育机制，深入实施高新技术企业“增量提质”计划，培育壮大科技领军企业，支持科技型中小企业发展。完善企业研发投入激励机制，引导企业建立研发准备金制度。加大政府采购自主创新产品力度。</w:t>
      </w:r>
    </w:p>
    <w:p>
      <w:pPr>
        <w:spacing w:line="320" w:lineRule="exact"/>
        <w:rPr>
          <w:rFonts w:hint="eastAsia"/>
          <w:kern w:val="0"/>
        </w:rPr>
      </w:pPr>
      <w:r>
        <w:rPr>
          <w:rFonts w:hint="eastAsia"/>
          <w:kern w:val="0"/>
        </w:rPr>
        <w:t>13.强化科技成果转化应用。体系化推进科技成果转移转化，打造面向全国、链接全球的成果转化优选地。推进科技成果转移转化公共服务平台建设，建设高校区域技术转移转化中心（福建）。实施中试创新服务平台体系建设行动，布局建设一批概念验证、中试验证平台。加强专业化市场化技术转移机构、科技中介组织和技术经纪人队伍建设。全面开展职务科技成果赋权改革。支持青年科技人才创新创业。完善创新创业孵化服务体系，推动创业孵化资源集成服务。完善知识产权保护体系，促进知识产权高质量创造、运用和保护。</w:t>
      </w:r>
    </w:p>
    <w:p>
      <w:pPr>
        <w:spacing w:line="320" w:lineRule="exact"/>
        <w:rPr>
          <w:rFonts w:hint="eastAsia"/>
          <w:kern w:val="0"/>
        </w:rPr>
      </w:pPr>
      <w:r>
        <w:rPr>
          <w:rFonts w:hint="eastAsia"/>
          <w:kern w:val="0"/>
        </w:rPr>
        <w:t>14.一体推进教育科技人才发展。完善教育科技人才一体推进的领导体制和工作机制，强化规划衔接、政策协同、资源统筹、评价联动，促进科技自主创新和人才自主培养良性互动。围绕科技创新、产业发展和国家战略需求协同育人，优化高校布局、分类推进改革、优化学科设置，深入推进“双一流”和新型研究型、一流应用型高校建设，加强新兴学科、重点学科、交叉学科建设，强化科研机构、创新平台、企业、科学计划人才集聚培养功能。深入实施“八闽英才”培养计划，培养造就更多战略科学家、科技领军人才、卓越工程师、大国工匠、高技能人才等各类人才。加强人才协作，优化人才结构，促进人才区域协调发展。精准引进海外人才，吸引各类人才来闽就业创业。深入实施“人才兴链”行动，完善重点产业链特聘专家团制度。健全柔性引才用才机制，畅通高校、科研机构、企业人才交流通道。以创新能力、质量、实效、贡献为评价导向，深化项目评审、机构评估、人才评价、收入分配改革，激发创新创造动力活力。健全人才服务体系，营造更有吸引力的人才环境。</w:t>
      </w:r>
    </w:p>
    <w:p>
      <w:pPr>
        <w:spacing w:line="320" w:lineRule="exact"/>
        <w:rPr>
          <w:rFonts w:hint="eastAsia"/>
          <w:kern w:val="0"/>
        </w:rPr>
      </w:pPr>
      <w:r>
        <w:rPr>
          <w:rFonts w:hint="eastAsia"/>
          <w:kern w:val="0"/>
        </w:rPr>
        <w:t>15.深入推进数字福建建设。深化数字中国建设综合试点，一体推进数字经济、数字政府、数字社会建设，构建数据要素赋能体系，打造数字中国建设标杆。做大做强数字经济核心产业，提高省级集聚区发展能级。促进实体经济和数字经济深度融合，实施工业互联网创新发展工程、中小企业数字化赋能专项行动。加快人工智能等数智技术创新，强化行业垂直模型产学研用攻关，增加算力、算法、数据等供给。因地制宜发展人工智能产业，高质量建设省级人工智能产业园。全面实施“人工智能+”行动，加强人工智能同产业发展、文化建设、民生保障、社会治理相结合，全方位赋能千行百业。加强人工智能治理。推动平台经济创新和健康发展。持续办好数字中国建设峰会。</w:t>
      </w:r>
    </w:p>
    <w:p>
      <w:pPr>
        <w:spacing w:line="320" w:lineRule="exact"/>
        <w:rPr>
          <w:rFonts w:hint="eastAsia"/>
          <w:kern w:val="0"/>
        </w:rPr>
      </w:pPr>
      <w:r>
        <w:rPr>
          <w:rFonts w:hint="eastAsia"/>
          <w:kern w:val="0"/>
        </w:rPr>
        <w:t>五、深入实施扩大内需战略，积极服务和深度融入新发展格局</w:t>
      </w:r>
    </w:p>
    <w:p>
      <w:pPr>
        <w:spacing w:line="320" w:lineRule="exact"/>
        <w:rPr>
          <w:rFonts w:hint="eastAsia"/>
          <w:kern w:val="0"/>
        </w:rPr>
      </w:pPr>
      <w:r>
        <w:rPr>
          <w:rFonts w:hint="eastAsia"/>
          <w:kern w:val="0"/>
        </w:rPr>
        <w:t>坚持惠民生和促消费、投资于物和投资于人紧密结合，以新需求引领新供给，以新供给创造新需求，促进消费和投资、供给和需求良性互动，筑牢在中国式现代化建设中奋勇争先的战略依托。</w:t>
      </w:r>
    </w:p>
    <w:p>
      <w:pPr>
        <w:spacing w:line="320" w:lineRule="exact"/>
        <w:rPr>
          <w:rFonts w:hint="eastAsia"/>
          <w:kern w:val="0"/>
        </w:rPr>
      </w:pPr>
      <w:r>
        <w:rPr>
          <w:rFonts w:hint="eastAsia"/>
          <w:kern w:val="0"/>
        </w:rPr>
        <w:t>16.加快释放消费潜能。深入实施提振消费专项行动，统筹促就业、增收入、稳预期，合理提高公共服务支出占财政支出比重，增强居民消费能力。强化品牌引领、标准升级、新技术应用，完善福品推广体系，扩大闽货潮品影响力，推动商品消费扩容升级。扩大优质多元服务供给。发展首发经济，培育新型消费热点。创新消费场景，深化农工商旅文体健跨界融合，推动商品消费和服务消费相互促进。建设入境消费友好型商圈。统筹推进城乡商业体系建设。加强便民服务设施优化提升，支持有条件的地区打造一刻钟幸福圈。完善促进消费制度机制，健全适应消费新业态新模式新场景的政策措施，落实带薪错峰休假。强化消费者权益保护。</w:t>
      </w:r>
    </w:p>
    <w:p>
      <w:pPr>
        <w:spacing w:line="320" w:lineRule="exact"/>
        <w:rPr>
          <w:rFonts w:hint="eastAsia"/>
          <w:kern w:val="0"/>
        </w:rPr>
      </w:pPr>
      <w:r>
        <w:rPr>
          <w:rFonts w:hint="eastAsia"/>
          <w:kern w:val="0"/>
        </w:rPr>
        <w:t>17.持续扩大有效投资。保持投资合理增长，提高投资质量效益。优化政府投资结构，提高民生类政府投资比重，高质量推进国家重大战略实施和重点领域安全能力项目建设。聚焦新质生产力培育加大投资，扩大高技术制造业和战略性新兴产业投资，支持企业设备更新和技术改造。适应人口结构变化和流动趋势，完善基础设施和公共服务资源布局，加强人力资源开发和人的全面发展投资。统筹用好各类政府投资，探索编制全口径政府投资计划。深化投资审批制度改革，加强政府投资项目全过程管理。加强跨区域、跨流域、跨领域项目谋划论证，加快推进一批标志性重大项目建设。完善民营企业参与重大项目建设长效机制，发挥政府投资基金引导带动作用，提高民间投资比重，增强市场主导的有效投资增长动力。</w:t>
      </w:r>
    </w:p>
    <w:p>
      <w:pPr>
        <w:spacing w:line="320" w:lineRule="exact"/>
        <w:rPr>
          <w:rFonts w:hint="eastAsia"/>
          <w:kern w:val="0"/>
        </w:rPr>
      </w:pPr>
      <w:r>
        <w:rPr>
          <w:rFonts w:hint="eastAsia"/>
          <w:kern w:val="0"/>
        </w:rPr>
        <w:t>18.主动融入全国统一大市场建设。实行统一的产权保护、市场准入、公平竞争、社会信用制度，严格落实“全国一张清单”管理模式，消除要素获取、资质认定、招标投标、政府采购等方面壁垒，规范地方政府经济促进行为，破除地方保护和市场分割。加强公平竞争审查刚性约束，强化反垄断和反不正当竞争执法司法，综合整治“内卷式”竞争。统一市场监管执法，强化市场监管标准化规范化数字化建设。推进地方标准综合管理制度改革。加快构建现代流通体系，促进全社会物流降本增效。</w:t>
      </w:r>
    </w:p>
    <w:p>
      <w:pPr>
        <w:spacing w:line="320" w:lineRule="exact"/>
        <w:rPr>
          <w:rFonts w:hint="eastAsia"/>
          <w:kern w:val="0"/>
        </w:rPr>
      </w:pPr>
      <w:r>
        <w:rPr>
          <w:rFonts w:hint="eastAsia"/>
          <w:kern w:val="0"/>
        </w:rPr>
        <w:t>六、构建高水平社会主义市场经济体制，增强高质量发展动力</w:t>
      </w:r>
    </w:p>
    <w:p>
      <w:pPr>
        <w:spacing w:line="320" w:lineRule="exact"/>
        <w:rPr>
          <w:rFonts w:hint="eastAsia"/>
          <w:kern w:val="0"/>
        </w:rPr>
      </w:pPr>
      <w:r>
        <w:rPr>
          <w:rFonts w:hint="eastAsia"/>
          <w:kern w:val="0"/>
        </w:rPr>
        <w:t>坚持社会主义基本经济制度，更好发挥经济体制改革牵引作用，推动有效市场和有为政府更好结合，促进改革与发展深度融合、高效联动，激发在中国式现代化建设中奋勇争先的强劲动力。</w:t>
      </w:r>
    </w:p>
    <w:p>
      <w:pPr>
        <w:spacing w:line="320" w:lineRule="exact"/>
        <w:rPr>
          <w:rFonts w:hint="eastAsia"/>
          <w:kern w:val="0"/>
        </w:rPr>
      </w:pPr>
      <w:r>
        <w:rPr>
          <w:rFonts w:hint="eastAsia"/>
          <w:kern w:val="0"/>
        </w:rPr>
        <w:t>19.持续深化国资国企改革。实施新一轮国有企业改革专项行动，做强做优做大国有企业和国有资本，推进国有经济布局优化和结构调整，增强国有企业核心功能、提升核心竞争力。强化国有资本在关键核心技术攻关和前瞻性战略性新兴产业领域投入，健全国有企业科技创新机制。推进国有资本投资、运营公司改革，深化混合所有制改革。加快省属国企战略性重组和专业化整合，健全国有企业现代公司治理。完善国资国企管理监督体制机制和国有企业分类考核评价体系。</w:t>
      </w:r>
    </w:p>
    <w:p>
      <w:pPr>
        <w:spacing w:line="320" w:lineRule="exact"/>
        <w:rPr>
          <w:rFonts w:hint="eastAsia"/>
          <w:kern w:val="0"/>
        </w:rPr>
      </w:pPr>
      <w:r>
        <w:rPr>
          <w:rFonts w:hint="eastAsia"/>
          <w:kern w:val="0"/>
        </w:rPr>
        <w:t>20.纵深推进新时代民营经济强省战略。创新和发展“晋江经验”，健全新时代民营经济强省战略协同推进机制，深化民营经济发展环境综合改革。落实民营经济促进法，实施福建省民营经济促进条例，从法规制度上保障平等使用生产要素、公平参与市场竞争、有效保护合法权益。完善促进民营企业转型升级的制度机制，支持中小企业和个体工商户发展，培育更多世界一流企业。依法保护民营企业产权和企业家合法权益，完善涉企收费长效监管和拖欠企业账款清偿长效机制，加强对查封、扣押、冻结等强制措施的司法监督。鼓励有条件的民营企业建立现代企业制度。大力弘扬企业家精神，全面构建亲清政商关系，健全促进民营企业家健康成长工作机制，引导民营企业做好代际传承。</w:t>
      </w:r>
    </w:p>
    <w:p>
      <w:pPr>
        <w:spacing w:line="320" w:lineRule="exact"/>
        <w:rPr>
          <w:rFonts w:hint="eastAsia"/>
          <w:kern w:val="0"/>
        </w:rPr>
      </w:pPr>
      <w:r>
        <w:rPr>
          <w:rFonts w:hint="eastAsia"/>
          <w:kern w:val="0"/>
        </w:rPr>
        <w:t>21.加快完善要素市场化配置体制机制。以福厦泉要素市场化配置综合改革试点为牵引，完善要素市场制度和规则，推动劳动、资本、土地、知识、技术、管理、数据等生产要素畅通流动、高效配置。加强要素市场化交易平台建设。编制宏观资产负债表，全面摸清存量资源资产底数，优化资产负债结构。健全闲置低效资源资产盘活处置机制，完善并购、破产、置换等政策，盘活用好低效用地、闲置房产、存量基础设施。依法有序推进工商业用地使用权续期工作。推进行政事业单位存量国有资产盘活共享。推动司法判决执行与破产制度有机衔接，依法有效盘活被查封冻结财产。</w:t>
      </w:r>
    </w:p>
    <w:p>
      <w:pPr>
        <w:spacing w:line="320" w:lineRule="exact"/>
        <w:rPr>
          <w:rFonts w:hint="eastAsia"/>
          <w:kern w:val="0"/>
        </w:rPr>
      </w:pPr>
      <w:r>
        <w:rPr>
          <w:rFonts w:hint="eastAsia"/>
          <w:kern w:val="0"/>
        </w:rPr>
        <w:t>22.打造一流营商环境。对标国际国内先进水平优化营商环境制度规则，完善营商环境建设工作机制。加快打造服务型政府，推进新时代机关效能建设。深化数字政府改革，系统性优化政务服务流程，健全“高效办成一件事”常态化推进机制，深化政务服务“数据最多采一次”模式。健全政企常态化沟通交流机制，提升“党企新时空·政企直通车”等平台服务效能。推进诚信福建建设，建立健全政府诚信履约机制，构建覆盖各类主体、制度规则统一、共建共享共用的社会信用体系。</w:t>
      </w:r>
    </w:p>
    <w:p>
      <w:pPr>
        <w:spacing w:line="320" w:lineRule="exact"/>
        <w:rPr>
          <w:rFonts w:hint="eastAsia"/>
          <w:kern w:val="0"/>
        </w:rPr>
      </w:pPr>
      <w:r>
        <w:rPr>
          <w:rFonts w:hint="eastAsia"/>
          <w:kern w:val="0"/>
        </w:rPr>
        <w:t>23.提升经济治理效能。完善战略规划体系和政策统筹协调机制。强化综合和专项政策研究储备，促进各类政策协同发力。增强经济政策和非经济政策与宏观政策取向一致性，强化政策实施效果评价，健全预期管理机制。</w:t>
      </w:r>
    </w:p>
    <w:p>
      <w:pPr>
        <w:spacing w:line="320" w:lineRule="exact"/>
        <w:rPr>
          <w:rFonts w:hint="eastAsia"/>
          <w:kern w:val="0"/>
        </w:rPr>
      </w:pPr>
      <w:r>
        <w:rPr>
          <w:rFonts w:hint="eastAsia"/>
          <w:kern w:val="0"/>
        </w:rPr>
        <w:t>深化财税体制改革。健全预算制度，加强财政资源和预算统筹，强化落实国家重大战略任务和基本民生财力保障。深化零基预算改革，统一预算分配权，优化财政支出结构，加强预算绩效管理。全面落实国家税收制度改革，深化税收征管改革。规范非税收入管理。深化省以下财政事权和支出责任改革，完善省对市县转移支付制度，提升市县财力同事权相匹配程度。建立健全同高质量发展相适应的政府债务管理长效机制。推进融资平台改革转型。</w:t>
      </w:r>
    </w:p>
    <w:p>
      <w:pPr>
        <w:spacing w:line="320" w:lineRule="exact"/>
        <w:rPr>
          <w:rFonts w:hint="eastAsia"/>
          <w:kern w:val="0"/>
        </w:rPr>
      </w:pPr>
      <w:r>
        <w:rPr>
          <w:rFonts w:hint="eastAsia"/>
          <w:kern w:val="0"/>
        </w:rPr>
        <w:t>深化地方金融体制改革，大力发展科技金融、绿色金融、普惠金融、养老金融、数字金融，健全服务实体经济激励约束机制。积极发展股权、债券等直接融资，稳步发展期货、衍生品和资产证券化，提高上市公司质量。加快发展创业投资，培育壮大耐心资本。完善地方金融监管体制，推进中小金融机构兼并重组、减量提质。优化国有金融资本管理体制。深化农村信用社改革。完善金融机构定位和治理。</w:t>
      </w:r>
    </w:p>
    <w:p>
      <w:pPr>
        <w:spacing w:line="320" w:lineRule="exact"/>
        <w:rPr>
          <w:rFonts w:hint="eastAsia"/>
          <w:kern w:val="0"/>
        </w:rPr>
      </w:pPr>
      <w:r>
        <w:rPr>
          <w:rFonts w:hint="eastAsia"/>
          <w:kern w:val="0"/>
        </w:rPr>
        <w:t>七、扩大高水平对外开放，拓展高质量发展新空间</w:t>
      </w:r>
    </w:p>
    <w:p>
      <w:pPr>
        <w:spacing w:line="320" w:lineRule="exact"/>
        <w:rPr>
          <w:rFonts w:hint="eastAsia"/>
          <w:kern w:val="0"/>
        </w:rPr>
      </w:pPr>
      <w:r>
        <w:rPr>
          <w:rFonts w:hint="eastAsia"/>
          <w:kern w:val="0"/>
        </w:rPr>
        <w:t>坚持以开放促改革促发展，加快构建开放型经济新体制，巩固拓展国内国际双循环的重要节点、重要通道功能，增创在中国式现代化建设中奋勇争先的开放合作新优势。</w:t>
      </w:r>
    </w:p>
    <w:p>
      <w:pPr>
        <w:spacing w:line="320" w:lineRule="exact"/>
        <w:rPr>
          <w:rFonts w:hint="eastAsia"/>
          <w:kern w:val="0"/>
        </w:rPr>
      </w:pPr>
      <w:r>
        <w:rPr>
          <w:rFonts w:hint="eastAsia"/>
          <w:kern w:val="0"/>
        </w:rPr>
        <w:t>24.稳步扩大制度型开放。对接国际高标准经贸规则，进一步完善以贸易、投资、资金流动、交通运输、人员往来自由便利和数据安全有序流动为重点的政策体系，支持企业参与制定国际标准。深入实施自由贸易试验区提升战略，围绕重点领域开展首创性、集成式探索创新，推动重点产业全产业链创新发展。深化自由贸易试验区与相关功能区域联动发展。</w:t>
      </w:r>
    </w:p>
    <w:p>
      <w:pPr>
        <w:spacing w:line="320" w:lineRule="exact"/>
        <w:rPr>
          <w:rFonts w:hint="eastAsia"/>
          <w:kern w:val="0"/>
        </w:rPr>
      </w:pPr>
      <w:r>
        <w:rPr>
          <w:rFonts w:hint="eastAsia"/>
          <w:kern w:val="0"/>
        </w:rPr>
        <w:t>25.推动贸易创新发展。强化贸产联动，培育壮大外贸主体。推动市场多元化和内外贸一体化，优化升级货物贸易，拓展中间品贸易、绿色贸易。大力发展服务贸易，鼓励服务出口，扩大优质服务进口。创新发展数字贸易，推动外贸全链条数字化转型。优化海外仓建设布局，推动跨境电商、市场采购、保税物流等新业态新模式规范健康发展。优化提升国际贸易“单一窗口”，推进通关便利化。</w:t>
      </w:r>
    </w:p>
    <w:p>
      <w:pPr>
        <w:spacing w:line="320" w:lineRule="exact"/>
        <w:rPr>
          <w:rFonts w:hint="eastAsia"/>
          <w:kern w:val="0"/>
        </w:rPr>
      </w:pPr>
      <w:r>
        <w:rPr>
          <w:rFonts w:hint="eastAsia"/>
          <w:kern w:val="0"/>
        </w:rPr>
        <w:t>26.强化双向投资合作。健全全省招商引资统筹机制，深化外商投资管理体制改革，大力引进高端制造、战略新兴、现代服务等领域外资，促进外资企业境内再投资。健全外商投资服务保障体系，推进数据高效便利安全跨境流动。有效实施对外投资管理，健全闽企出海综合服务体系，拓展境外经贸合作区功能，促进贸易投资一体化，引导产业链供应链合理有序跨境布局。增强中国国际投资贸易洽谈会等平台投资促进功能。</w:t>
      </w:r>
    </w:p>
    <w:p>
      <w:pPr>
        <w:spacing w:line="320" w:lineRule="exact"/>
        <w:rPr>
          <w:rFonts w:hint="eastAsia"/>
          <w:kern w:val="0"/>
        </w:rPr>
      </w:pPr>
      <w:r>
        <w:rPr>
          <w:rFonts w:hint="eastAsia"/>
          <w:kern w:val="0"/>
        </w:rPr>
        <w:t>27.高质量建设二十一世纪海上丝绸之路核心区。完善立体互联互通网络，推进“丝路海运”港航贸一体化发展，加快“丝路飞翔”“数字丝路”等通道建设，推动海铁联运提质增效，提升中欧（亚）班列发展水平。加强与共建“一带一路”国家合作，推进“两国双园”、金砖创新基地等平台建设。深化产业链供应链务实合作，推进绿色、创新、数字、海洋、健康等新兴领域合作，促进人文交流和民心相通。统筹推进重大标志性工程和“小而美”民生项目建设。完善多元化、可持续、风险可控的投融资体系。加强海外利益保护。</w:t>
      </w:r>
    </w:p>
    <w:p>
      <w:pPr>
        <w:spacing w:line="320" w:lineRule="exact"/>
        <w:rPr>
          <w:rFonts w:hint="eastAsia"/>
          <w:kern w:val="0"/>
        </w:rPr>
      </w:pPr>
      <w:r>
        <w:rPr>
          <w:rFonts w:hint="eastAsia"/>
          <w:kern w:val="0"/>
        </w:rPr>
        <w:t>28.打好新时代新“侨牌”。全面贯彻党的侨务政策，大力弘扬嘉庚精神，牢固树立“大侨务”观念，完善凝侨心、引侨资、汇侨智、聚侨力工作机制。加强华侨历史文化遗存传承保护和活化利用。拓展“丝路华教联盟”品牌，推动华文教育转型升级。实施侨商创新创业计划，优化华侨华人投资服务。持续办好中国侨智发展大会。深化海外重点侨团、重点代表人士联络联谊，用心用情做好新华侨华人和华裔新生代工作。加强侨务法治建设。支持华侨农场改革发展。坚持以侨为桥，拓展民间外交渠道，积极服务国家总体外交。</w:t>
      </w:r>
    </w:p>
    <w:p>
      <w:pPr>
        <w:spacing w:line="320" w:lineRule="exact"/>
        <w:rPr>
          <w:rFonts w:hint="eastAsia"/>
          <w:kern w:val="0"/>
        </w:rPr>
      </w:pPr>
      <w:r>
        <w:rPr>
          <w:rFonts w:hint="eastAsia"/>
          <w:kern w:val="0"/>
        </w:rPr>
        <w:t>八、高质量推进两岸融合发展示范区建设，更好服务祖国统一大业</w:t>
      </w:r>
    </w:p>
    <w:p>
      <w:pPr>
        <w:spacing w:line="320" w:lineRule="exact"/>
        <w:rPr>
          <w:rFonts w:hint="eastAsia"/>
          <w:kern w:val="0"/>
        </w:rPr>
      </w:pPr>
      <w:r>
        <w:rPr>
          <w:rFonts w:hint="eastAsia"/>
          <w:kern w:val="0"/>
        </w:rPr>
        <w:t>深入贯彻新时代党解决台湾问题的总体方略，坚持以通促融、以惠促融、以情促融，深化社会融合、经贸融合、情感融合，促进全域融合发展，践行在中国式现代化建设中奋勇争先的重大使命。</w:t>
      </w:r>
    </w:p>
    <w:p>
      <w:pPr>
        <w:spacing w:line="320" w:lineRule="exact"/>
        <w:rPr>
          <w:rFonts w:hint="eastAsia"/>
          <w:kern w:val="0"/>
        </w:rPr>
      </w:pPr>
      <w:r>
        <w:rPr>
          <w:rFonts w:hint="eastAsia"/>
          <w:kern w:val="0"/>
        </w:rPr>
        <w:t>29.建设宜居宜业共同家园。完善增进台胞福祉和享受同等待遇的政策制度，为台胞在闽学习、工作、生活创造更好条件。适度超前建设交通物流基础设施，构建立体式综合性对台通道枢纽。推进向金门、马祖通水通电通气通桥大陆侧项目建设。支持更多台湾教师、学生来闽工作学习，优化提升台湾青年实习就业创业基地。完善台湾职业资格直接采认和采信制度。增强台胞台企服务平台功能。拓展台湾居民居住证应用场景。支持台胞加入各类社团组织和行业协会商会，投身生态环保、乡村振兴、社会公益等事业发展，深度参与社区建设、基层治理。深化闽台乡建乡创合作。完善台胞台企权益保障协调联动机制，加强涉台司法服务。</w:t>
      </w:r>
    </w:p>
    <w:p>
      <w:pPr>
        <w:spacing w:line="320" w:lineRule="exact"/>
        <w:rPr>
          <w:rFonts w:hint="eastAsia"/>
          <w:kern w:val="0"/>
        </w:rPr>
      </w:pPr>
      <w:r>
        <w:rPr>
          <w:rFonts w:hint="eastAsia"/>
          <w:kern w:val="0"/>
        </w:rPr>
        <w:t>30.提高闽台经贸合作质效。深入探索两岸共同市场建设路径，优化涉台营商环境，进一步放宽台资台企市场准入限制，强化市场规则衔接、经贸机制对接，扩大两岸标准共通领域和适用范围，推进闽台投资贸易自由化便利化。滚动实施闽台融合发展重点项目。深化闽台产业合作，推动各类涉台园区提档升级，建设海峡两岸中小企业合作区，提升两岸产业链供应链韧性。推进对台小额贸易创新发展，建设台湾商品集散中心，打造对台贸易枢纽。提升对台金融服务质效，建设多层次两岸金融市场。加强闽台科技创新合作，推动共建共性技术研发平台。建设闽台人才集聚平台。</w:t>
      </w:r>
    </w:p>
    <w:p>
      <w:pPr>
        <w:spacing w:line="320" w:lineRule="exact"/>
        <w:rPr>
          <w:rFonts w:hint="eastAsia"/>
          <w:kern w:val="0"/>
        </w:rPr>
      </w:pPr>
      <w:r>
        <w:rPr>
          <w:rFonts w:hint="eastAsia"/>
          <w:kern w:val="0"/>
        </w:rPr>
        <w:t>31.构筑两岸人文交流高地。深化两岸关系历史文化研究和宣传，发挥闽台宗亲、乡亲、姻亲、民间信仰等纽带作用，共同传承弘扬中华文化，铸牢中华民族共同体意识。持续办好海峡论坛等两岸重大交流活动，加强青年、基层等领域交流。深入实施闽台历史展示溯源工程，强化闽台关系档案、族谱、涉台文物等保护利用工作。密切闽台文化旅游业、广播影视业合作，打造两岸流行文化中心。拓展两岸青少年研学基地功能，促进闽台青年社团常态化交流。加强闽台体育项目合作和体育赛事交流。</w:t>
      </w:r>
    </w:p>
    <w:p>
      <w:pPr>
        <w:spacing w:line="320" w:lineRule="exact"/>
        <w:rPr>
          <w:rFonts w:hint="eastAsia"/>
          <w:kern w:val="0"/>
        </w:rPr>
      </w:pPr>
      <w:r>
        <w:rPr>
          <w:rFonts w:hint="eastAsia"/>
          <w:kern w:val="0"/>
        </w:rPr>
        <w:t>32.构建全域融合新格局。支持厦门与金门加快融合发展、福州与马祖深化融合发展，打造“同城生活圈”。支持厦门纵深推进综合改革试点。加快平潭综合实验区开放发展，推进新一轮全岛封关运作，建设两岸共同市场先行区域、两岸同胞共同家园。健全福州新区与平潭综合实验区对台融合协同机制，实现一体化、高质量发展。支持其他地区建好用好对台交流合作平台载体，打造富有特色的对台合作品牌。</w:t>
      </w:r>
    </w:p>
    <w:p>
      <w:pPr>
        <w:spacing w:line="320" w:lineRule="exact"/>
        <w:rPr>
          <w:rFonts w:hint="eastAsia"/>
          <w:kern w:val="0"/>
        </w:rPr>
      </w:pPr>
      <w:r>
        <w:rPr>
          <w:rFonts w:hint="eastAsia"/>
          <w:kern w:val="0"/>
        </w:rPr>
        <w:t>九、优化区域经济布局，提升区域协调发展水平</w:t>
      </w:r>
    </w:p>
    <w:p>
      <w:pPr>
        <w:spacing w:line="320" w:lineRule="exact"/>
        <w:rPr>
          <w:rFonts w:hint="eastAsia"/>
          <w:kern w:val="0"/>
        </w:rPr>
      </w:pPr>
      <w:r>
        <w:rPr>
          <w:rFonts w:hint="eastAsia"/>
          <w:kern w:val="0"/>
        </w:rPr>
        <w:t>坚持区域差异化特色化协同发展，深入实施区域协调发展战略、区域重大战略、主体功能区战略，构建沿海人口经济集中集聚、山区生态重点保护、山海之间协同联动的区域发展格局，拓展在中国式现代化建设中奋勇争先的广阔空间。</w:t>
      </w:r>
    </w:p>
    <w:p>
      <w:pPr>
        <w:spacing w:line="320" w:lineRule="exact"/>
        <w:rPr>
          <w:rFonts w:hint="eastAsia"/>
          <w:kern w:val="0"/>
        </w:rPr>
      </w:pPr>
      <w:r>
        <w:rPr>
          <w:rFonts w:hint="eastAsia"/>
          <w:kern w:val="0"/>
        </w:rPr>
        <w:t>33.优化国土空间格局。健全主体功能区制度体系。完善国土空间规划体系，落实优化耕地和永久基本农田、生态保护红线、城镇开发边界等控制线，健全国土空间用途管制和规划许可制度。优化提升“四类八区”农业生产格局、“两屏一带六江两溪”生态安全格局、“两极两带三轴六湾区”城镇发展格局和“一带两核六湾多岛”海洋空间格局，推动省域国土空间差异化协同化发展。提升国土空间数智化治理水平。探索实施建设用地总量按规划期管控模式，实行统筹存量和增量综合供地。</w:t>
      </w:r>
    </w:p>
    <w:p>
      <w:pPr>
        <w:spacing w:line="320" w:lineRule="exact"/>
        <w:rPr>
          <w:rFonts w:hint="eastAsia"/>
          <w:kern w:val="0"/>
        </w:rPr>
      </w:pPr>
      <w:r>
        <w:rPr>
          <w:rFonts w:hint="eastAsia"/>
          <w:kern w:val="0"/>
        </w:rPr>
        <w:t>34.深入实施新时代山海协作。健全市、县山海协作机制，探索创新合作模式和管理方式。推动产业高水平协作，加强山海联合招商，打造优势互补的山海协作产业集群。推进山海协同创新，建立山海联合科技攻关机制。发展壮大飞地经济，完善转出地和承接地利益共享机制，布局建设一批“产业飞地”“科创飞地”园区。提升山海互联互通水平，深化就业、教育、医疗、人才等领域协作。</w:t>
      </w:r>
    </w:p>
    <w:p>
      <w:pPr>
        <w:spacing w:line="320" w:lineRule="exact"/>
        <w:rPr>
          <w:rFonts w:hint="eastAsia"/>
          <w:kern w:val="0"/>
        </w:rPr>
      </w:pPr>
      <w:r>
        <w:rPr>
          <w:rFonts w:hint="eastAsia"/>
          <w:kern w:val="0"/>
        </w:rPr>
        <w:t>35.推进高水平海上福建建设。坚持陆海统筹，完善海洋管理体制机制，推动海洋经济高质量发展。加快建设全国海洋经济发展示范区。发展壮大海湾经济，推进城市群、港口群、产业群联动发展，加快城区、港区、园区相互融合，打造区域发展新增长点。推进港口资源优化整合，构建顺畅高效的港口集疏运体系，建设世界一流现代化港口。打造高能级海洋科创平台，壮大海洋科技人才队伍。构建现代海洋产业体系，引导海洋产业向深远海发展。开展海洋调查和观测监测，加强海洋能源资源、海域海岛保护和合理开发利用。加强数字海洋建设，提高海洋综合治理水平。</w:t>
      </w:r>
    </w:p>
    <w:p>
      <w:pPr>
        <w:spacing w:line="320" w:lineRule="exact"/>
        <w:rPr>
          <w:rFonts w:hint="eastAsia"/>
          <w:kern w:val="0"/>
        </w:rPr>
      </w:pPr>
      <w:r>
        <w:rPr>
          <w:rFonts w:hint="eastAsia"/>
          <w:kern w:val="0"/>
        </w:rPr>
        <w:t>36.推进老区苏区全面振兴。加大差异化政策支持力度，完善老区苏区发展促进机制和政策体系，推进闽西革命老区高质量发展示范区建设。加快老区苏区资源型产业转型升级，打造一批特色优势产业集群。实施一批老区苏区振兴发展重大工程，加快补齐基础设施、民生社会事业等领域短板。加强红色资源保护利用。持续深化沪明、广龙对口合作。</w:t>
      </w:r>
    </w:p>
    <w:p>
      <w:pPr>
        <w:spacing w:line="320" w:lineRule="exact"/>
        <w:rPr>
          <w:rFonts w:hint="eastAsia"/>
          <w:kern w:val="0"/>
        </w:rPr>
      </w:pPr>
      <w:r>
        <w:rPr>
          <w:rFonts w:hint="eastAsia"/>
          <w:kern w:val="0"/>
        </w:rPr>
        <w:t>37.促进区域交流合作。深度对接长三角一体化发展、长江经济带发展、粤港澳大湾区建设等区域重大战略，打造一批产业合作区、异地研发中心、文旅商融合线路。加强与中部省份之间的陆海联运，畅通与周边省份及主要城市流通网络。加强省际毗邻地区建设，促进闽东北、闽西南与邻近省份城镇联动发展，共同构建粤闽浙沿海城市群。深化东西部协作和对口支援机制，深化拓展闽宁协作，做好援藏援疆工作。深化闽港闽澳经贸、科技、人文等领域交流合作。</w:t>
      </w:r>
    </w:p>
    <w:p>
      <w:pPr>
        <w:spacing w:line="320" w:lineRule="exact"/>
        <w:rPr>
          <w:rFonts w:hint="eastAsia"/>
          <w:kern w:val="0"/>
        </w:rPr>
      </w:pPr>
      <w:r>
        <w:rPr>
          <w:rFonts w:hint="eastAsia"/>
          <w:kern w:val="0"/>
        </w:rPr>
        <w:t>十、统筹推进新型城镇化和乡村全面振兴，加快城乡融合发展步伐</w:t>
      </w:r>
    </w:p>
    <w:p>
      <w:pPr>
        <w:spacing w:line="320" w:lineRule="exact"/>
        <w:rPr>
          <w:rFonts w:hint="eastAsia"/>
          <w:kern w:val="0"/>
        </w:rPr>
      </w:pPr>
      <w:r>
        <w:rPr>
          <w:rFonts w:hint="eastAsia"/>
          <w:kern w:val="0"/>
        </w:rPr>
        <w:t>深入实施新型城镇化战略、乡村振兴战略，坚持以工补农、以城带乡、协调发展、共同繁荣，联动推进优城、强县、兴村，加快构建具有福建特色的城乡融合发展格局，释放在中国式现代化建设中奋勇争先的巨大潜能。（下转第四版）（上接第三版）</w:t>
      </w:r>
    </w:p>
    <w:p>
      <w:pPr>
        <w:spacing w:line="320" w:lineRule="exact"/>
        <w:rPr>
          <w:rFonts w:hint="eastAsia"/>
          <w:kern w:val="0"/>
        </w:rPr>
      </w:pPr>
      <w:r>
        <w:rPr>
          <w:rFonts w:hint="eastAsia"/>
          <w:kern w:val="0"/>
        </w:rPr>
        <w:t>38.全面提升城市能级。优化现代化城市体系，促进大中小城市和小城镇协调发展。健全都市圈建设协调机制，加快完善都市圈城际铁路、轨道交通、快速干线公路网络，促进创新链产业链高效联动，统筹公共服务设施布局，提升福州都市圈、厦漳泉都市圈同城化水平。深入推进以人为本的新型城镇化，支持中心城市扩容提级，增强综合承载力和辐射带动力，分类推进以县城为重要载体的城镇化建设，推动人口集聚、产业集中和功能集成。坚持城市内涵式发展，实施城市更新和安全韧性提升行动，建设现代化人民城市。实施新一轮农业转移人口市民化行动，推行由常住地登记户口提供基本公共服务制度。增强城市国际交往功能，支持有条件的城市建设国际门户枢纽城市。</w:t>
      </w:r>
    </w:p>
    <w:p>
      <w:pPr>
        <w:spacing w:line="320" w:lineRule="exact"/>
        <w:rPr>
          <w:rFonts w:hint="eastAsia"/>
          <w:kern w:val="0"/>
        </w:rPr>
      </w:pPr>
      <w:r>
        <w:rPr>
          <w:rFonts w:hint="eastAsia"/>
          <w:kern w:val="0"/>
        </w:rPr>
        <w:t>39.发展壮大县域经济。优化提升县域产业体系，形成以县城为枢纽、乡镇为节点、农村为基地的发展布局。做强做大县域重点产业链，培育引进县域龙头企业。培育壮大乡村富民产业。完善县域园区规划布局，提升园区设施与服务配套水平。以县域为重点统筹推进城乡融合发展，分类推进做大做强县城，统筹优化镇村布局。深化扩权强县强镇改革，巩固拓展人口小县机构改革成果，稳慎有序推进乡级行政区划和村级建制调整。推动县域基础设施一体化规划建设管护，实施“百乡千村万里路”工程。提升城乡数字化治理和服务水平。协同推进县域国土空间治理，稳步开展全域土地综合整治。</w:t>
      </w:r>
    </w:p>
    <w:p>
      <w:pPr>
        <w:spacing w:line="320" w:lineRule="exact"/>
        <w:rPr>
          <w:rFonts w:hint="eastAsia"/>
          <w:kern w:val="0"/>
        </w:rPr>
      </w:pPr>
      <w:r>
        <w:rPr>
          <w:rFonts w:hint="eastAsia"/>
          <w:kern w:val="0"/>
        </w:rPr>
        <w:t>40.加快建设宜居宜业和美乡村。学习运用“千万工程”经验，深入实施“千村示范引领、万村共富共美”工程，因地制宜推进乡村建设品质提升，分类有序、片区化推进乡村振兴，逐步提高农村基础设施完备度、公共服务便利度、人居环境舒适度。深入实施农村人居环境整治提升行动，深化拓展和美乡村“五个美丽”建设，创造乡村优质生活空间。深化科技特派员制度。搭建“新农人”培育平台，激励各类人才下乡服务和创业就业。提高强农惠农富农政策效能，健全乡村振兴多元化投入格局。深化农村集体产权制度改革，发展新型农村集体经济。统筹建立常态化防止返贫致贫机制，坚持精准帮扶，完善兜底式保障，强化开发式帮扶。</w:t>
      </w:r>
    </w:p>
    <w:p>
      <w:pPr>
        <w:spacing w:line="320" w:lineRule="exact"/>
        <w:rPr>
          <w:rFonts w:hint="eastAsia"/>
          <w:kern w:val="0"/>
        </w:rPr>
      </w:pPr>
      <w:r>
        <w:rPr>
          <w:rFonts w:hint="eastAsia"/>
          <w:kern w:val="0"/>
        </w:rPr>
        <w:t>十一、激发文化创新创造活力，建设更高水平文化强省</w:t>
      </w:r>
    </w:p>
    <w:p>
      <w:pPr>
        <w:spacing w:line="320" w:lineRule="exact"/>
        <w:rPr>
          <w:rFonts w:hint="eastAsia"/>
          <w:kern w:val="0"/>
        </w:rPr>
      </w:pPr>
      <w:r>
        <w:rPr>
          <w:rFonts w:hint="eastAsia"/>
          <w:kern w:val="0"/>
        </w:rPr>
        <w:t>坚持马克思主义在意识形态领域的指导地位，坚定文化自信，坚持守正创新，全面展现新时代八闽文化的气韵和风采，凝聚在中国式现代化建设中奋勇争先的强大精神力量。</w:t>
      </w:r>
    </w:p>
    <w:p>
      <w:pPr>
        <w:spacing w:line="320" w:lineRule="exact"/>
        <w:rPr>
          <w:rFonts w:hint="eastAsia"/>
          <w:kern w:val="0"/>
        </w:rPr>
      </w:pPr>
      <w:r>
        <w:rPr>
          <w:rFonts w:hint="eastAsia"/>
          <w:kern w:val="0"/>
        </w:rPr>
        <w:t>41.坚持不懈做好以文化人工作。健全用党的创新理论武装党员、教育人民、指导实践工作体系。创新实施马克思主义理论研究和建设工程，实施哲学社会科学创新工程，加快建设社科强省。加强社会主义核心价值观教育引导、实践养成、制度保障体系建设，完善公民道德建设机制。弘扬诚信文化、廉洁文化。加强和改进思想政治工作，推进校园文化建设，加强青少年理想信念教育。创新文明培育、文明实践、文明创建，实施城乡文明建设工程，推进移风易俗。加强网络内容建设和管理。提升信息化条件下文化领域治理能力。</w:t>
      </w:r>
    </w:p>
    <w:p>
      <w:pPr>
        <w:spacing w:line="320" w:lineRule="exact"/>
        <w:rPr>
          <w:rFonts w:hint="eastAsia"/>
          <w:kern w:val="0"/>
        </w:rPr>
      </w:pPr>
      <w:r>
        <w:rPr>
          <w:rFonts w:hint="eastAsia"/>
          <w:kern w:val="0"/>
        </w:rPr>
        <w:t>42.打造“闽派”文艺精品和文化品牌。实施新时代“闽派”文艺精品工程，营造良好文艺生态，提升文化原创能力。实施全媒体传播建设工程，推进主流媒体系统性变革，推进新闻宣传和网络舆论一体化管理。深入推进《八闽文库》全媒体出版工程、海洋文化传承发展工程和“闽人智慧”传播计划，促进闽都文化、闽南文化、客家文化和朱子文化、妈祖文化、海丝文化等创造性转化、创新性发展。推动文化遗产系统性保护和统一监管督察，加强历史文化名城、街区、村镇有序创建、有效保护和活态传承。加强红色文化遗存保护利用，提高革命史料、革命文物研究阐释和展示传播水平，建好用好长征国家文化公园（福建段）。实施公共文化服务提质增效行动，建立优质文化资源直达基层机制，推动各类文化场馆扩面升级，布局建设新型公共文化空间。广泛开展群众性文化活动，繁荣互联网条件下新大众文艺。推进书香八闽建设。健全文化人才规划和政策，建设高水平文化人才队伍。完善全民健身公共服务体系，统筹推进群众体育和竞技体育发展。</w:t>
      </w:r>
    </w:p>
    <w:p>
      <w:pPr>
        <w:spacing w:line="320" w:lineRule="exact"/>
        <w:rPr>
          <w:rFonts w:hint="eastAsia"/>
          <w:kern w:val="0"/>
        </w:rPr>
      </w:pPr>
      <w:r>
        <w:rPr>
          <w:rFonts w:hint="eastAsia"/>
          <w:kern w:val="0"/>
        </w:rPr>
        <w:t>43.培育文化旅游支柱产业。完善文化管理体制和生产经营机制，健全文化产业体系和市场体系，优化文化产业结构和区域布局，培育优秀文化企业和品牌。实施重大文化产业项目带动战略，实施积极的文化经济政策，高质量建设文化产业园区。推进国家文化和科技融合示范基地建设，布局建设文化科技创新平台。深入实施文化数字化战略，推动文化新业态集群式发展，引导规范网络文学、网络游戏、网络视听等健康发展，加强未成年人网络保护。实施全域文旅提升战略，推动景区全域联动、产品全域优化、线路全域统筹、服务全域提升，增强“清新福建”品牌知名度美誉度。深化文旅国际交流合作，提升入境旅游便利化国际化水平，打造世界知名旅游目的地。</w:t>
      </w:r>
    </w:p>
    <w:p>
      <w:pPr>
        <w:spacing w:line="320" w:lineRule="exact"/>
        <w:rPr>
          <w:rFonts w:hint="eastAsia"/>
          <w:kern w:val="0"/>
        </w:rPr>
      </w:pPr>
      <w:r>
        <w:rPr>
          <w:rFonts w:hint="eastAsia"/>
          <w:kern w:val="0"/>
        </w:rPr>
        <w:t>44.加强国际传播能力建设。深入实施海丝人文交流工程，推动创建海丝文化公园，提升“鼓岭缘”、船政文化等国际交流影响力。加快建设世界闽南文化交流中心。实施对外文化贸易“福船出海”行动计划。创新传播载体和方式，做强“四海传福”品牌，加强重点基地建设和区域国别研究，增强主流媒体国际传播能力，构建融通中外的话语体系和表达方式，鼓励更多文化企业和优秀文化产品走向世界。</w:t>
      </w:r>
    </w:p>
    <w:p>
      <w:pPr>
        <w:spacing w:line="320" w:lineRule="exact"/>
        <w:rPr>
          <w:rFonts w:hint="eastAsia"/>
          <w:kern w:val="0"/>
        </w:rPr>
      </w:pPr>
      <w:r>
        <w:rPr>
          <w:rFonts w:hint="eastAsia"/>
          <w:kern w:val="0"/>
        </w:rPr>
        <w:t>十二、加大保障和改善民生力度，推动共同富裕迈出坚实步伐</w:t>
      </w:r>
    </w:p>
    <w:p>
      <w:pPr>
        <w:spacing w:line="320" w:lineRule="exact"/>
        <w:rPr>
          <w:rFonts w:hint="eastAsia"/>
          <w:kern w:val="0"/>
        </w:rPr>
      </w:pPr>
      <w:r>
        <w:rPr>
          <w:rFonts w:hint="eastAsia"/>
          <w:kern w:val="0"/>
        </w:rPr>
        <w:t>坚持尽力而为、量力而行，加强普惠性、基础性、兜底性民生建设，优先抓好民生领域各项改革，解决好人民群众急难愁盼问题，畅通社会流动渠道，提高人民生活品质，厚植在中国式现代化建设中奋勇争先的民生根基。</w:t>
      </w:r>
    </w:p>
    <w:p>
      <w:pPr>
        <w:spacing w:line="320" w:lineRule="exact"/>
        <w:rPr>
          <w:rFonts w:hint="eastAsia"/>
          <w:kern w:val="0"/>
        </w:rPr>
      </w:pPr>
      <w:r>
        <w:rPr>
          <w:rFonts w:hint="eastAsia"/>
          <w:kern w:val="0"/>
        </w:rPr>
        <w:t>45.促进高质量充分就业。深入实施就业优先战略，健全就业促进机制，构建就业友好型发展方式。实施“福见乐业”计划，积极培育新职业新岗位，支持企业稳岗扩岗。实施技能福建行动，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加强劳动者权益保障，健全劳动关系协商协调机制。完善就业影响评估和监测预警，综合应对外部环境变化和新技术发展对就业的影响。</w:t>
      </w:r>
    </w:p>
    <w:p>
      <w:pPr>
        <w:spacing w:line="320" w:lineRule="exact"/>
        <w:rPr>
          <w:rFonts w:hint="eastAsia"/>
          <w:kern w:val="0"/>
        </w:rPr>
      </w:pPr>
      <w:r>
        <w:rPr>
          <w:rFonts w:hint="eastAsia"/>
          <w:kern w:val="0"/>
        </w:rPr>
        <w:t>46.提高人民收入水平。健全经济发展与收入增长联动机制，支持勤劳创新合法致富，促进收入分配更合理、更有序。提高劳动报酬在初次分配中的比重，健全各类生产要素由市场评价贡献、按贡献决定报酬的初次分配机制，促进多劳者多得、技高者多得、创新者多得。完善劳动者工资决定、合理增长、支付保障机制，健全最低工资标准调整机制。落实税收、社会保障、转移支付等再分配调节机制。促进和规范公益慈善事业发展。实施城乡居民增收计划。规范收入分配秩序和财富积累机制，建立健全先富带后富促共富机制。</w:t>
      </w:r>
    </w:p>
    <w:p>
      <w:pPr>
        <w:spacing w:line="320" w:lineRule="exact"/>
        <w:rPr>
          <w:rFonts w:hint="eastAsia"/>
          <w:kern w:val="0"/>
        </w:rPr>
      </w:pPr>
      <w:r>
        <w:rPr>
          <w:rFonts w:hint="eastAsia"/>
          <w:kern w:val="0"/>
        </w:rPr>
        <w:t>47.办好人民满意的教育。深化教育综合改革，促进教育公平，加快建设教育强省。实施新时代立德树人工程，健全“五育并举”育人体系，推进大中小学思想政治教育一体化。健全教育评价体系。健全与人口相适应的教育资源配置机制。稳步扩大免费教育范围。推动基础教育扩优提质，统筹义务教育优质均衡发展、学前教育优质普惠发展，扩大普通高中办学资源，办好特殊教育、专门教育。推动高等教育提质扩容。深入实施高水平职业学校和专业建设计划。引导规范民办教育发展。弘扬教育家精神，优化教师管理和资源配置。实施教育数智赋能行动，优化终身学习公共服务。</w:t>
      </w:r>
    </w:p>
    <w:p>
      <w:pPr>
        <w:spacing w:line="320" w:lineRule="exact"/>
        <w:rPr>
          <w:rFonts w:hint="eastAsia"/>
          <w:kern w:val="0"/>
        </w:rPr>
      </w:pPr>
      <w:r>
        <w:rPr>
          <w:rFonts w:hint="eastAsia"/>
          <w:kern w:val="0"/>
        </w:rPr>
        <w:t>48.健全社会保障体系。落实基本养老保险全国统筹制度，加快发展多层次、多支柱养老保险体系，健全待遇确定和调整机制，逐步提高城乡居民基础养老金。推进基本医疗保险省级统筹，促进多重保障有序衔接。扩大失业、工伤保险覆盖面，建立健全职业伤害保障制度。完善社保关系转移接续机制，健全灵活就业人员、农民工、新就业形态人员社会保障政策。健全社保基金保值增值和安全监管体系。强化社会救助，完善空巢老人、困境儿童、残疾人等群体关爱服务体系。建立健全基本殡葬服务制度。落实男女平等基本国策，保障妇女儿童合法权益。加强退役军人服务保障。</w:t>
      </w:r>
    </w:p>
    <w:p>
      <w:pPr>
        <w:spacing w:line="320" w:lineRule="exact"/>
        <w:rPr>
          <w:rFonts w:hint="eastAsia"/>
          <w:kern w:val="0"/>
        </w:rPr>
      </w:pPr>
      <w:r>
        <w:rPr>
          <w:rFonts w:hint="eastAsia"/>
          <w:kern w:val="0"/>
        </w:rPr>
        <w:t>49.推动房地产高质量发展。加快构建房地产发展新模式，完善房地产开发、融资、销售等制度机制。优化保障性住房供给，满足城镇工薪群体和各类困难家庭基本住房需求。因城施策增加改善性住房供给。建设安全舒适绿色智慧的“好房子”，实施房屋品质提升工程和物业服务质量提升行动。加强房屋全生命周期安全管理，支持老旧住房自主更新、原拆原建。</w:t>
      </w:r>
    </w:p>
    <w:p>
      <w:pPr>
        <w:spacing w:line="320" w:lineRule="exact"/>
        <w:rPr>
          <w:rFonts w:hint="eastAsia"/>
          <w:kern w:val="0"/>
        </w:rPr>
      </w:pPr>
      <w:r>
        <w:rPr>
          <w:rFonts w:hint="eastAsia"/>
          <w:kern w:val="0"/>
        </w:rPr>
        <w:t>50.推进健康福建建设。实施健康优先发展战略，健全健康促进政策制度体系，提升爱国卫生运动成效。强化公共卫生能力，加强疾控体系建设，防控重大传染病。巩固提升和深入推广三明医改经验，推动医疗、医保、医药协同发展和治理，深化以公益性为导向的公立医院编制、服务价格、薪酬制度、综合监管改革，加强县区、基层医疗机构运行保障。实施医疗登峰计划和医疗卫生强基工程，加快构建分级诊疗体系。推进全民健康数智化建设。加强慢性病综合防控，发展防治康管全链条服务。全方位提升急诊急救、血液保障和应急能力。加强医疗卫生人才队伍能力和作风建设。推进中医药传承创新，促进中西医结合。支持创新药和医疗器械发展。加强心理健康和精神卫生服务。加快发展健康产业。</w:t>
      </w:r>
    </w:p>
    <w:p>
      <w:pPr>
        <w:spacing w:line="320" w:lineRule="exact"/>
        <w:rPr>
          <w:rFonts w:hint="eastAsia"/>
          <w:kern w:val="0"/>
        </w:rPr>
      </w:pPr>
      <w:r>
        <w:rPr>
          <w:rFonts w:hint="eastAsia"/>
          <w:kern w:val="0"/>
        </w:rPr>
        <w:t>51.促进人口高质量发展。健全覆盖全人群、全生命周期的人口服务体系。倡导积极婚育观，优化生育支持政策和激励措施，落实育儿补贴、生育休假制度，完善生育保险制度，实施早孕关爱行动、孕育和出生缺陷防治能力提升计划。发展普惠托育和托幼一体化服务。加强妇女和儿童健康服务。积极应对人口老龄化，健全养老事业和产业协同发展政策机制。持续完善居家社区机构相协调、医养康养相结合的养老服务体系。加强公共设施适老化和无障碍改造。推行长期护理保险，健全失能失智老人照护体系，扩大康复护理、安宁疗护服务供给。稳妥实施渐进式延迟法定退休年龄，优化就业、社保等方面年龄限制政策，积极开发老年人力资源，发展银发经济。</w:t>
      </w:r>
    </w:p>
    <w:p>
      <w:pPr>
        <w:spacing w:line="320" w:lineRule="exact"/>
        <w:rPr>
          <w:rFonts w:hint="eastAsia"/>
          <w:kern w:val="0"/>
        </w:rPr>
      </w:pPr>
      <w:r>
        <w:rPr>
          <w:rFonts w:hint="eastAsia"/>
          <w:kern w:val="0"/>
        </w:rPr>
        <w:t>52.稳步推进基本公共服务均等化。完善基本公共服务范围和内容，健全与常住人口相匹配的公共资源配置机制。促进基本公共服务资源下沉和区域均衡布局。加强县域基本公共服务供给统筹，完善投入保障长效机制。全面深化事业单位改革。</w:t>
      </w:r>
    </w:p>
    <w:p>
      <w:pPr>
        <w:spacing w:line="320" w:lineRule="exact"/>
        <w:rPr>
          <w:rFonts w:hint="eastAsia"/>
          <w:kern w:val="0"/>
        </w:rPr>
      </w:pPr>
      <w:r>
        <w:rPr>
          <w:rFonts w:hint="eastAsia"/>
          <w:kern w:val="0"/>
        </w:rPr>
        <w:t>十三、持续深化生态省建设，谱写美丽中国建设福建篇章</w:t>
      </w:r>
    </w:p>
    <w:p>
      <w:pPr>
        <w:spacing w:line="320" w:lineRule="exact"/>
        <w:rPr>
          <w:rFonts w:hint="eastAsia"/>
          <w:kern w:val="0"/>
        </w:rPr>
      </w:pPr>
      <w:r>
        <w:rPr>
          <w:rFonts w:hint="eastAsia"/>
          <w:kern w:val="0"/>
        </w:rPr>
        <w:t>牢固树立和践行绿水青山就是金山银山理念，以碳达峰碳中和为牵引，协同推进降碳、减污、扩绿、增长，巩固绿水青山优势，厚植金山银山潜力，擦亮在中国式现代化建设中奋勇争先的绿色底色。</w:t>
      </w:r>
    </w:p>
    <w:p>
      <w:pPr>
        <w:spacing w:line="320" w:lineRule="exact"/>
        <w:rPr>
          <w:rFonts w:hint="eastAsia"/>
          <w:kern w:val="0"/>
        </w:rPr>
      </w:pPr>
      <w:r>
        <w:rPr>
          <w:rFonts w:hint="eastAsia"/>
          <w:kern w:val="0"/>
        </w:rPr>
        <w:t>53.接续推进国家生态文明试验区建设。持续深化生态文明体制改革，探索更多具有福建特色的标志性制度成果，争创美丽中国先行区。扎实推进全国深化集体林权制度改革先行区、森林“四库”联动试点区建设。健全自然资源资产产权制度和管理制度体系，深化自然资源有偿使用制度改革。持续完善生态司法机制，健全生态保护补偿和生态环境损害赔偿机制。深化国家生态产品价值实现机制试点。健全生态环境分区管控体系，加快落实以排污许可制为核心的固定污染源监管制度。深化领导干部自然资源资产离任审计制度。</w:t>
      </w:r>
    </w:p>
    <w:p>
      <w:pPr>
        <w:spacing w:line="320" w:lineRule="exact"/>
        <w:rPr>
          <w:rFonts w:hint="eastAsia"/>
          <w:kern w:val="0"/>
        </w:rPr>
      </w:pPr>
      <w:r>
        <w:rPr>
          <w:rFonts w:hint="eastAsia"/>
          <w:kern w:val="0"/>
        </w:rPr>
        <w:t>54.加快构建从山顶到海洋的保护治理大格局。坚持山水林田湖草沙一体化保护和系统治理，统筹推进重要生态系统保护和修复重大工程。全面推进以武夷山国家公园为主体的自然保护地体系建设。完善河湖长制、林长制。强化生物多样性保护。推进历史遗留矿山生态治理。持续推进国土绿化行动。</w:t>
      </w:r>
    </w:p>
    <w:p>
      <w:pPr>
        <w:spacing w:line="320" w:lineRule="exact"/>
        <w:rPr>
          <w:rFonts w:hint="eastAsia"/>
          <w:kern w:val="0"/>
        </w:rPr>
      </w:pPr>
      <w:r>
        <w:rPr>
          <w:rFonts w:hint="eastAsia"/>
          <w:kern w:val="0"/>
        </w:rPr>
        <w:t>坚持环保为民，全面落实精准科学依法治污，深入打好蓝天、碧水、碧海、净土保卫战。加强区域联防联控，强化氮氧化物、挥发性有机物等多污染物协同控制，稳步降低细颗粒物浓度。全面推进闽江、九龙江等大江小河保护治理，打造全域美丽河湖。统筹实施近岸海域污染防治、生态保护修复和岸滩环境整治，打造全域美丽海湾。深入实施土壤污染源头防控和固体废物综合治理行动。加快全域无废城市建设。加强环境风险防控，深入推进新污染物治理。</w:t>
      </w:r>
    </w:p>
    <w:p>
      <w:pPr>
        <w:spacing w:line="320" w:lineRule="exact"/>
        <w:rPr>
          <w:rFonts w:hint="eastAsia"/>
          <w:kern w:val="0"/>
        </w:rPr>
      </w:pPr>
      <w:r>
        <w:rPr>
          <w:rFonts w:hint="eastAsia"/>
          <w:kern w:val="0"/>
        </w:rPr>
        <w:t>55.加快建设新型能源体系。协同推进“风光储氢核”发展，打造我国重要的新能源先进制造基地、技术创新高地和应用推广高地。做大做强海上风电装备全产业链，有序推进深远海海上风电建设。加快推进高效光伏技术产业化。接续推进“电动福建”建设，抢占电化学储能发展制高点，加力推广应用新能源车船。科学布局抽水蓄能。推动氢能产业创新发展，加快链群培育，拓展应用场景。支持先进核能产业布局，推进核能综合利用。探索开发潮汐能等海洋能。</w:t>
      </w:r>
    </w:p>
    <w:p>
      <w:pPr>
        <w:spacing w:line="320" w:lineRule="exact"/>
        <w:rPr>
          <w:rFonts w:hint="eastAsia"/>
          <w:kern w:val="0"/>
        </w:rPr>
      </w:pPr>
      <w:r>
        <w:rPr>
          <w:rFonts w:hint="eastAsia"/>
          <w:kern w:val="0"/>
        </w:rPr>
        <w:t>持续提高新能源供给比重，推进化石能源清洁安全可靠有序替代，着力构建新型电力系统。坚持风光水核等多能并举，统筹就地消纳和外送，促进清洁能源高质量发展。加强化石能源清洁高效利用。全面提升电力系统互补互济和安全韧性水平，加快智能电网和微电网建设。提高终端用能电气化水平，推动能源消费绿色化低碳化。完善绿色电力交易体系。</w:t>
      </w:r>
    </w:p>
    <w:p>
      <w:pPr>
        <w:spacing w:line="320" w:lineRule="exact"/>
        <w:rPr>
          <w:rFonts w:hint="eastAsia"/>
          <w:kern w:val="0"/>
        </w:rPr>
      </w:pPr>
      <w:r>
        <w:rPr>
          <w:rFonts w:hint="eastAsia"/>
          <w:kern w:val="0"/>
        </w:rPr>
        <w:t>56.积极稳妥推进和实现碳达峰。实施碳排放总量和强度双控制度。完善碳排放统计核算体系，高质量推进国家碳计量中心（福建）建设，稳步实施地方碳考核、行业碳管控、企业碳管理、项目碳评价、产品碳足迹等政策制度。深入实施碳达峰十大行动，确保碳达峰目标如期实现。健全福建省碳排放权交易市场管理制度。分类推进零碳低碳试点，建设零碳工厂和园区。完善适应气候变化工作体系，提升应对气候变化特别是极端天气能力。</w:t>
      </w:r>
    </w:p>
    <w:p>
      <w:pPr>
        <w:spacing w:line="320" w:lineRule="exact"/>
        <w:rPr>
          <w:rFonts w:hint="eastAsia"/>
          <w:kern w:val="0"/>
        </w:rPr>
      </w:pPr>
      <w:r>
        <w:rPr>
          <w:rFonts w:hint="eastAsia"/>
          <w:kern w:val="0"/>
        </w:rPr>
        <w:t>57.加快形成绿色生产生活方式。推动工业、城乡建设、交通运输、能源等重点领域绿色低碳转型，建设绿色低碳循环发展经济体系。加快实施钢铁、有色、石化、化工、建材等行业节能降碳改造。加快城乡建筑和市政基础设施节能降碳改造，推动超低能耗、低碳建筑规模化发展。构建绿色交通运输体系。完善资源总量管理和全面节约制度，提高垃圾分类和资源化利用水平。推广绿色低碳生活方式。</w:t>
      </w:r>
    </w:p>
    <w:p>
      <w:pPr>
        <w:spacing w:line="320" w:lineRule="exact"/>
        <w:rPr>
          <w:rFonts w:hint="eastAsia"/>
          <w:kern w:val="0"/>
        </w:rPr>
      </w:pPr>
      <w:r>
        <w:rPr>
          <w:rFonts w:hint="eastAsia"/>
          <w:kern w:val="0"/>
        </w:rPr>
        <w:t>十四、统筹发展和安全，建设更高水平平安福建</w:t>
      </w:r>
    </w:p>
    <w:p>
      <w:pPr>
        <w:spacing w:line="320" w:lineRule="exact"/>
        <w:rPr>
          <w:rFonts w:hint="eastAsia"/>
          <w:kern w:val="0"/>
        </w:rPr>
      </w:pPr>
      <w:r>
        <w:rPr>
          <w:rFonts w:hint="eastAsia"/>
          <w:kern w:val="0"/>
        </w:rPr>
        <w:t>坚定不移贯彻总体国家安全观，加快推进国家安全体系和能力现代化，打造社会更加有序、基础更加牢固、治理更加有效、人民更加满意的平安福地，巩固在中国式现代化建设中奋勇争先的安全屏障。</w:t>
      </w:r>
    </w:p>
    <w:p>
      <w:pPr>
        <w:spacing w:line="320" w:lineRule="exact"/>
        <w:rPr>
          <w:rFonts w:hint="eastAsia"/>
          <w:kern w:val="0"/>
        </w:rPr>
      </w:pPr>
      <w:r>
        <w:rPr>
          <w:rFonts w:hint="eastAsia"/>
          <w:kern w:val="0"/>
        </w:rPr>
        <w:t>58.健全国家安全体系。推进国家安全法治体系、战略体系、政策体系、风险防控体系建设。加强国家安全重点领域和重要专项协调机制建设，提高应急应变效能。落实国家安全责任制，促进全链条全要素协同联动。完善涉外国家安全机制，提高海外安全保障能力，加强反制裁、反干涉、反“长臂管辖”斗争，强化海外利益和投资风险预警、防控、保护。加强新技术在国家安全领域应用。强化国家安全教育，筑牢人民防线。</w:t>
      </w:r>
    </w:p>
    <w:p>
      <w:pPr>
        <w:spacing w:line="320" w:lineRule="exact"/>
        <w:rPr>
          <w:rFonts w:hint="eastAsia"/>
          <w:kern w:val="0"/>
        </w:rPr>
      </w:pPr>
      <w:r>
        <w:rPr>
          <w:rFonts w:hint="eastAsia"/>
          <w:kern w:val="0"/>
        </w:rPr>
        <w:t>59.筑牢重点领域安全防线。锻造实战实用的国家安全能力，突出保障事关国家长治久安、经济健康稳定、人民安居乐业的重大安全，把捍卫政治安全摆在首位。保障粮食、能源资源、重要产业链供应链、重大基础设施安全，加强战略性矿产资源勘探开发和储备。加强网络、数据、人工智能、生物、生态、核、深海、低空等新兴领域国家安全能力建设。提高防范化解重点领域风险能力，统筹推进房地产、地方政府债务、中小金融机构等风险有序化解，严防系统性风险。</w:t>
      </w:r>
    </w:p>
    <w:p>
      <w:pPr>
        <w:spacing w:line="320" w:lineRule="exact"/>
        <w:rPr>
          <w:rFonts w:hint="eastAsia"/>
          <w:kern w:val="0"/>
        </w:rPr>
      </w:pPr>
      <w:r>
        <w:rPr>
          <w:rFonts w:hint="eastAsia"/>
          <w:kern w:val="0"/>
        </w:rPr>
        <w:t>60.强化公共安全保障。完善公共安全体系，推动公共安全治理模式向事前预防转型。加强气象、水文、地质等灾害监测预报预警，提高防灾减灾救灾和重大突发公共事件处置保障能力。完善和落实安全生产责任制，深化“餐桌污染”治理，强化食品药品全链条监管。落实维护社会稳定责任，完善重大决策社会稳定风险评估机制。深化社会治安整体防控体系和能力建设，发展壮大群防群治力量，健全扫黑除恶常态化机制，加大预防和打击电信网络诈骗、毒品犯罪等的力度。推进综治中心规范化建设。深化网络空间安全综合治理，加强个人信息保护。强化未成年人违法犯罪预防和治理，加强特殊人群服务管理。全面准确贯彻宽严相济刑事政策，依法惩处违法犯罪，提升刑罚执行质效。</w:t>
      </w:r>
    </w:p>
    <w:p>
      <w:pPr>
        <w:spacing w:line="320" w:lineRule="exact"/>
        <w:rPr>
          <w:rFonts w:hint="eastAsia"/>
          <w:kern w:val="0"/>
        </w:rPr>
      </w:pPr>
      <w:r>
        <w:rPr>
          <w:rFonts w:hint="eastAsia"/>
          <w:kern w:val="0"/>
        </w:rPr>
        <w:t>61.完善社会治理体系。健全党组织领导的自治、法治、德治相结合的城乡基层治理体系，完善共建共治共享的社会治理制度。健全社会工作体制机制，完善社会治理政策和法规体系。加强新经济组织、新社会组织、新就业群体党的建设。加强社会组织培育管理，推动行业协会商会改革发展。加强党建引领基层治理和基层政权建设，全面落实乡镇（街道）履职事项清单，健全村（社区）工作事项准入制度。坚持和发展新时代“枫桥经验”，加强乡村治理，完善社区治理。推进网上网下协同治理。加强基层服务管理力量配置，完善服务设施和经费保障机制。加强家庭家教家风建设。</w:t>
      </w:r>
    </w:p>
    <w:p>
      <w:pPr>
        <w:spacing w:line="320" w:lineRule="exact"/>
        <w:rPr>
          <w:rFonts w:hint="eastAsia"/>
          <w:kern w:val="0"/>
        </w:rPr>
      </w:pPr>
      <w:r>
        <w:rPr>
          <w:rFonts w:hint="eastAsia"/>
          <w:kern w:val="0"/>
        </w:rPr>
        <w:t>完善凝聚服务群众工作机制。加强思想政治引领，改进各类社会群体服务管理，健全利益关系协调、合法权益保障制度，关心关爱困难、弱势群体。健全社会心理服务体系和危机干预机制。强化市民热线等公共服务平台功能。发展志愿服务，加强志愿服务组织管理。推进信访工作法治化。深入推动矛盾纠纷源头化解、多元化解、有序化解。加强社会工作者队伍建设，提高专业化服务水平。</w:t>
      </w:r>
    </w:p>
    <w:p>
      <w:pPr>
        <w:spacing w:line="320" w:lineRule="exact"/>
        <w:rPr>
          <w:rFonts w:hint="eastAsia"/>
          <w:kern w:val="0"/>
        </w:rPr>
      </w:pPr>
      <w:r>
        <w:rPr>
          <w:rFonts w:hint="eastAsia"/>
          <w:kern w:val="0"/>
        </w:rPr>
        <w:t>62.积极服务国防和军队现代化建设。推动军地协同发展，服务推进跨军地改革，完善涉军议事协调体制机制。加强军民科技协同创新，推动新质生产力同新质战斗力高效融合、双向拉动，做大做强国防科技工业。加快国防动员能力建设，加强现代边海空防建设。完善新时代双拥工作机制。深化全民国防教育，巩固军政军民团结。</w:t>
      </w:r>
    </w:p>
    <w:p>
      <w:pPr>
        <w:spacing w:line="320" w:lineRule="exact"/>
        <w:rPr>
          <w:rFonts w:hint="eastAsia"/>
          <w:kern w:val="0"/>
        </w:rPr>
      </w:pPr>
      <w:r>
        <w:rPr>
          <w:rFonts w:hint="eastAsia"/>
          <w:kern w:val="0"/>
        </w:rPr>
        <w:t>十五、为实现“十五五”规划团结奋斗</w:t>
      </w:r>
    </w:p>
    <w:p>
      <w:pPr>
        <w:spacing w:line="320" w:lineRule="exact"/>
        <w:rPr>
          <w:rFonts w:hint="eastAsia"/>
          <w:kern w:val="0"/>
        </w:rPr>
      </w:pPr>
      <w:r>
        <w:rPr>
          <w:rFonts w:hint="eastAsia"/>
          <w:kern w:val="0"/>
        </w:rPr>
        <w:t>坚持以党的自我革命引领社会革命，持之以恒推进全面从严治党，充分发挥党总揽全局、协调各方的领导作用，充分调动全社会积极性主动性创造性，形成在中国式现代化建设中奋勇争先的强大合力。</w:t>
      </w:r>
    </w:p>
    <w:p>
      <w:pPr>
        <w:spacing w:line="320" w:lineRule="exact"/>
        <w:rPr>
          <w:rFonts w:hint="eastAsia"/>
          <w:kern w:val="0"/>
        </w:rPr>
      </w:pPr>
      <w:r>
        <w:rPr>
          <w:rFonts w:hint="eastAsia"/>
          <w:kern w:val="0"/>
        </w:rPr>
        <w:t>63.坚持和加强党的全面领导。持续用党的创新理论统一思想、统一意志、统一行动，完善推动习近平总书记重要讲话重要指示批示精神和党中央决策部署落实机制，坚持和完善党领导经济社会发展的体制机制，不折不扣推动党中央决策部署在福建落地生根、开花结果。发展党内民主，严格落实民主集中制，不断提高科学决策、民主决策、依法决策水平。坚持正确用人导向，坚持把政治标准放在首位，树立和践行正确政绩观，完善干部考核评价机制，选优配强各级领导班子，推进领导干部能上能下常态化，打造党性过硬、视野开阔、善于创新、真抓实干的干部队伍。深入开展向谷文昌、廖俊波等同志学习活动，强化教育培训和实践锻炼，提高干部队伍现代化建设本领。坚持把从严管理监督和鼓励担当作为统一起来，激发干部队伍内生动力和整体活力。深入实施新时代“堡垒工程”，统筹推进各领域基层党组织建设，完善近邻党建工作机制，增强党组织政治功能和组织功能，发挥党员先锋模范作用。锲而不舍落实中央八项规定及其实施细则精神，全面落实“四下基层”制度，传承弘扬“马上就办、真抓实干”等优良作风，狠刹各种不正之风，推进作风建设常态化长效化。深入开展整治形式主义为基层减负工作。保持反腐败永远在路上的清醒坚定，坚决打好反腐败斗争攻坚战、持久战、总体战，不断提高不敢腐、不能腐、不想腐的综合功效，持续巩固发展良好的政治生态。</w:t>
      </w:r>
    </w:p>
    <w:p>
      <w:pPr>
        <w:spacing w:line="320" w:lineRule="exact"/>
        <w:rPr>
          <w:rFonts w:hint="eastAsia"/>
          <w:kern w:val="0"/>
        </w:rPr>
      </w:pPr>
      <w:r>
        <w:rPr>
          <w:rFonts w:hint="eastAsia"/>
          <w:kern w:val="0"/>
        </w:rPr>
        <w:t>64.深化拓展全过程人民民主实践。坚持党的领导、人民当家作主、依法治国有机统一。坚持好、完善好、运行好人民代表大会制度，支持和保证人大及其常委会依法履行立法、监督、决定、任免等职能，确保国家机关依法行使权力、履行职责，确保人民群众民主权利、合法权益得到维护和实现。坚持和完善中国共产党领导的多党合作和政治协商制度，发挥专门协商机构作用，加强各种协商渠道协同配合，完善协商成果采纳、落实和反馈机制，推进协商民主广泛多层制度化发展。健全基层民主制度，保障人民依法管理基层公共事务和公益事业。健全吸纳民意、汇集民智工作机制。更好发挥工会、共青团、妇联等群团组织作用，推进产业工人队伍建设改革，探索建设青年发展型省份，加强妇女儿童事业发展政策保障。完善大统战工作格局，巩固和发展最广泛的爱国统一战线，发挥党外知识分子和新的社会阶层人士优势作用。以铸牢中华民族共同体意识为主线加快建设中华民族团结进步的窗口。推进民族地区振兴发展。坚持我国宗教中国化方向，加强宗教事务治理法治化。</w:t>
      </w:r>
    </w:p>
    <w:p>
      <w:pPr>
        <w:spacing w:line="320" w:lineRule="exact"/>
        <w:rPr>
          <w:rFonts w:hint="eastAsia"/>
          <w:kern w:val="0"/>
        </w:rPr>
      </w:pPr>
      <w:r>
        <w:rPr>
          <w:rFonts w:hint="eastAsia"/>
          <w:kern w:val="0"/>
        </w:rPr>
        <w:t>65.深化法治福建建设。全面推进科学立法、严格执法、公正司法、全民守法。全面贯彻实施宪法，维护宪法权威。加强立法规划和立法审查，提高立法质量。强化法治政府建设，全面落实行政规范性文件备案审查，完善实质性化解行政争议机制。深入推进数字政法建设，打造集数字法院、数字检察、数字警务、智慧司法为一体的政法智能化矩阵。规范司法权力运行，完善司法公正实现和评价机制。强化检察监督，加强公益诉讼。依法保障人身权、财产权、人格权，健全规范涉企执法长效机制，防止和纠正违规异地执法、趋利性执法。健全执行工作机制，有效解决“执行难”问题。推进涉外法治体系和能力建设，深化海丝中央法务区建设。加强领导干部依法办事监督检查，完善综合性法治评价工作机制。推进法治社会建设。</w:t>
      </w:r>
    </w:p>
    <w:p>
      <w:pPr>
        <w:spacing w:line="320" w:lineRule="exact"/>
        <w:rPr>
          <w:rFonts w:hint="eastAsia"/>
          <w:kern w:val="0"/>
        </w:rPr>
      </w:pPr>
      <w:r>
        <w:rPr>
          <w:rFonts w:hint="eastAsia"/>
          <w:kern w:val="0"/>
        </w:rPr>
        <w:t>66.健全规划制定和落实机制。坚决贯彻党中央决策部署，按照本次全会精神，制定“十五五”规划纲要和专项规划等，形成定位准确、边界清晰、功能互补、统一衔接的规划体系。强化规划实施监测评估和监督，健全政策协调和工作协同机制，确保省委关于“十五五”发展决策部署落到实处。贯彻尊重劳动、尊重知识、尊重人才、尊重创造的方针，充分调动各方面积极因素，激发全社会干事创业、创新创造活力，形成人尽其才、才尽其用、万众一心、勠力进取的生动局面。</w:t>
      </w:r>
    </w:p>
    <w:p>
      <w:pPr>
        <w:spacing w:line="320" w:lineRule="exact"/>
        <w:rPr>
          <w:rFonts w:hint="eastAsia"/>
          <w:kern w:val="0"/>
        </w:rPr>
      </w:pPr>
      <w:r>
        <w:rPr>
          <w:rFonts w:hint="eastAsia"/>
          <w:kern w:val="0"/>
        </w:rPr>
        <w:t>全省各级党组织和广大党员、干部群众要更加紧密地团结在以习近平同志为核心的党中央周围，牢记嘱托、砥砺前行，乘势而上、团结奋斗，扭住目标不放松，一张蓝图绘到底，全方位推动高质量发展，在中国式现代化建设中奋勇争先，奋力谱写新征程新福建建设新篇章。</w:t>
      </w:r>
    </w:p>
    <w:p>
      <w:pPr>
        <w:spacing w:line="320" w:lineRule="exact"/>
        <w:rPr>
          <w:rFonts w:hint="eastAsia" w:eastAsia="宋体"/>
          <w:kern w:val="0"/>
          <w:lang w:eastAsia="zh-CN"/>
        </w:rPr>
      </w:pPr>
      <w:r>
        <w:rPr>
          <w:rFonts w:hint="eastAsia"/>
          <w:kern w:val="0"/>
          <w:lang w:eastAsia="zh-CN"/>
        </w:rPr>
        <w:t>（来源：福建日报）</w:t>
      </w: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spacing w:line="320" w:lineRule="exact"/>
        <w:rPr>
          <w:rFonts w:hint="eastAsia"/>
          <w:kern w:val="0"/>
        </w:rPr>
      </w:pPr>
    </w:p>
    <w:p>
      <w:pPr>
        <w:pStyle w:val="3"/>
        <w:spacing w:after="0"/>
        <w:rPr>
          <w:rFonts w:hint="eastAsia"/>
        </w:rPr>
      </w:pPr>
      <w:r>
        <w:rPr>
          <w:rFonts w:hint="eastAsia"/>
        </w:rPr>
        <w:t>中共泉州市委十三届十次全会举行</w:t>
      </w:r>
    </w:p>
    <w:p>
      <w:pPr>
        <w:pStyle w:val="3"/>
        <w:spacing w:after="0"/>
        <w:rPr>
          <w:rFonts w:hint="eastAsia"/>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中国共产党泉州市第十三届委员会第十次全体会议决议（2025年11月28日中国共产党泉州市第十三届委员会第十次全体会议通过）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中国共产党泉州市第十三届委员会第十次全体会议，于2025年11月28日在泉州举行。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出席这次会议的有市委委员30人，市委候补委员8人。市纪委常委、市监委委员和有关方面负责同志，泉州市党的二十大代表、省第十一次党代会代表和市第十三次党代会代表中的部分专家学者、基层代表等列席会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全会由市委常委会主持。市委书记张毅恭讲话。</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深入学习贯彻党的二十届四中全会精神和习近平总书记在福建考察时的重要讲话精神，听取和讨论了张毅恭受市委常委会委托所作的工作报告，审议通过了《中共泉州市委关于制定泉州市国民经济和社会发展第十五个五年规划的建议》。张毅恭就《建议（讨论稿）》向全会作了说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认为，党的二十届四中全会，是在即将进入基本实现社会主义现代化夯实基础、全面发力的关键时期召开的一次十分重要的会议。全会通过的《建议》，是指导“十五五”时期经济社会发展的纲领性文件。要把学习好贯彻好党的二十届四中全会精神作为当前和今后一个时期的重大政治任务，认真落实省委十一届九次全会部署要求，在深学细悟中把握核心要义，在对标对表中找准实践路径，在笃行实干中彰显责任担当，切实把思想和行动统一到党中央决策部署上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充分肯定了今年以来市委常委会的工作。一致认为，市委常委会深入学习贯彻习近平总书记在福建考察时的重要讲话精神，传承弘扬、创新发展“晋江经验”，聚焦“奋勇争先、再上台阶”，持续深化拓展“深学争优、敢为争先、实干争效”行动，持续大拼经济、大抓发展，深入实施“抓项目、促发展”系列专项行动，勇当新时代民营经济强省战略主力军，持续推动经济平稳健康发展，推动科技创新和产业创新深度融合，进一步全面深化改革和扩大高水平开放，推动区域协调发展和城乡融合发展，加快建设文化强市、旅游强市，积极探索海峡两岸融合发展新路，扎实推进社会主义民主法治建设，切实做好民生保障和生态保护，纵深推进全面从严治党，扎实开展深入贯彻中央八项规定精神学习教育，“十四五”主要目标任务即将顺利完成。</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高度评价“十四五”时期泉州发展取得的重大成就。一致认为，“十四五”时期泉州发展历程极不寻常、极不平凡。面对错综复杂的外部形势和艰巨繁重的改革发展稳定任务，市委坚持以习近平新时代中国特色社会主义思想为指导，坚决贯彻落实习近平总书记重要讲话重要指示批示精神和党中央决策部署，在省委领导下，团结带领全市人民传承弘扬、创新发展“晋江经验”，经受住世纪疫情严重冲击，有效应对一系列重大风险挑战，海丝名城、智造强市、品质泉州建设迈出新的坚实步伐，在第二个百年奋斗目标新征程中实现良好开局。</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指出，当前和今后一个时期，世界之变、时代之变、历史之变交织叠加，不确定难预料因素增多，战略机遇与风险挑战并存。要深刻领悟“两个确立”的决定性意义，增强“四个意识”、坚定“四个自信”、做到“两个维护”，保持战略定力，增强必胜信心，积极识变应变求变，敢于斗争、善于斗争，以历史主动精神克难关、战风险、迎挑战，扭住目标不放松、一张蓝图绘到底，始终高举“晋江经验”旗帜，扛牢建设两岸融合发展示范区、勇当新时代民营经济强省战略主力军两个使命担当，落实“闯出新路”“奋勇争先”“作出示范”“久久为功”四方面重要要求，夯实民生改善、生态保护、安全稳定等三大保障，奋勇争先推进中国式现代化泉州实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强调，“十五五”时期泉州经济社会发展，必须坚持马克思列宁主义、毛泽东思想、邓小平理论、“三个代表”重要思想、科学发展观，全面贯彻习近平新时代中国特色社会主义思想，深入贯彻党的二十大和二十届历次全会精神，全面落实习近平总书记对福建、对泉州工作的重要讲话重要指示批示精神，按照省委工作要求，传承弘扬、创新发展“晋江经验”，紧紧围绕加快建设21世纪“海丝名城”、奋勇争先推进中国式现代化泉州实践这一主线，高质量推进两岸融合发展示范区建设这一使命，统筹推进“五位一体”总体布局，协调推进“四个全面”战略布局，完整准确全面贯彻新发展理念，积极服务和深度融入新发展格局，坚持稳中求进工作总基调，坚持以经济建设为中心，以全方位推动高质量发展为主题，以改革创新为根本动力，以满足人民群众日益增长的美好生活需要为根本目的，以全面从严治党为根本保障，努力在推动科技创新和产业创新深度融合上闯出新路，在全面深化改革、扩大高水平开放上奋勇争先，在推动区域协调发展和城乡融合发展上作出示范，在提升文化影响力、展示泉州新形象上久久为功，推动经济实现质的有效提升和量的合理增长，推动人的全面发展、全体人民共同富裕迈出坚实步伐，确保基本实现社会主义现代化取得决定性进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指出，“十五五”时期泉州经济社会发展必须遵循“六个坚持”重要原则，即坚持党的全面领导，坚持人民至上，坚持高质量发展，坚持全面深化改革，坚持有效市场和有为政府相结合，坚持统筹发展和安全；注重把握好省委“六个必须”基本要求，即必须坚持不懈用习近平新时代中国特色社会主义思想凝心铸魂，必须坚决扛牢党中央赋予的重大使命，必须切实担起经济大省挑大梁的重大责任，必须把改革精神改革思维改革方法贯穿始终，必须探索具有福建特色的共同富裕之路，必须激发争优争先争效的昂扬斗志，冲锋在前、担当在先，奋力书写“晋江经验”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了“十五五”时期泉州经济社会发展的主要目标：产业体系结构更优，民营经济活力更足，海丝枢纽能级更高，两岸融合联结更深，世遗文旅品牌更响，全域共富步伐更稳，生态绿城底色更靓，人均地区生产总值接近或达到中等发达国家水平。在此基础上再奋斗五年，到二〇三五年全市经济实力、科技实力、综合竞争力大幅跃升，人民生活更加幸福美好，建成海丝名城、智造强市、品质泉州，在基本实现社会主义现代化中走在前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更高水平建设现代化产业体系，打造全国先进制造基地。牢记“心无旁骛做实业”，加快建设新型工业化强市，深化重点工业企业倍增行动，保持制造业合理比重，推动服务业扩能提质，打造“955”现代产业集群。深化工业（产业）园区标准化建设，构建信息网、交通网、能源保障网、大水网、物流网等现代化基础设施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以科技创新引领新质生产力发展，建设高水平国家创新型城市。提高福厦泉国家自主创新示范区创新引领能力，培育创新型企业雁阵梯队，完善全链条科技成果供给转化应用体系，一体推进教育科技人才发展，深化数字泉州建设，打造具有全国影响力的产业创新高地和区域创新中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积极服务和融入国内大循环，构筑新发展格局战略支点。深入实施提振消费专项行动，建设“世遗泉州·时尚之都”“世界美食之都”，打造区域消费中心城市。主动融入全国统一大市场建设，加力招商引资、招才引智，积极扩大有效投资，提高民间投资比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深化经济体制改革，争创民营经济高质量发展城市范例。深化新时代民营经济高质量发展综合改革，实施新一轮国有企业改革专项行动，加快完善要素市场化配置体制机制，打造一流营商环境，提升经济治理效能，推动国有经济与民营经济协同发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推进高水平对外开放，提升二十一世纪海上丝绸之路先行区建设能级。稳步推进制度型开放，深化工贸并举、内外贸一体化，强化双向投资合作，深化海丝重要门户城市建设，打好新时代新“侨牌”，打造双循环战略支点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探索泉台融合发展新路，打造台胞台企登陆第一家园。深入贯彻新时代党解决台湾问题的总体方略，深化社会融合、经贸融合、情感融合，强化金门供水保障，加快建设两岸（厦泉金）合作发展区、世界闽南文化交流中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优化提升城市发展空间格局，建设区域性中心城市。全面融入厦漳泉都市圈同城化，优化“一湾两翼三带一屏多支点”空间布局，深化新时代山海协作，加快建设“海洋强市”。统筹古城保护和新城集聚，统筹沿海沿江沿交通主干线梯次开发，高质量开展城市更新，一体推进“369”交通圈、生活圈、经济圈，建设现代化人民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统筹推进新型城镇化和乡村全面振兴，走出富有泉州特色的城乡融合发展之路。以县域为重点统筹推进城乡融合发展，联动推进优城、强县、兴村，深入推进以人为本的新型城镇化，做大做强50条县域重点产业链，大力发展特色现代农业，深入实施“千村示范引领、万村共富共美”工程，加快建设宜居宜业和美海丝侨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激发文化创新创造活力，建设更高水平的文化强市、旅游强市。坚持不懈做好以文化人工作，创新公共文化空间，引导优质文化资源直达基层。打造世界遗产保护利用典范城市，推动海丝文化、闽南文化、华侨文化等创造性转化、创新性发展。加强国际传播能力建设，再现“东方第一大港”繁荣景象。构建全域文旅大格局，培育文化旅游支柱产业，打造全国最具烟火气的旅游城市和世界海丝多元文化旅游目的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持续保障和改善民生，共建共享共同富裕美好城市。加强普惠性、基础性、兜底性民生建设，促进充分就业和持续增收，办好人民满意的优质教育，健全社会保障体系，加快建设健康泉州，促进人口高质量发展，不断提高人民生活品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持续深化生态市建设，塑造山水相融强韧适宜的美丽泉州。牢固树立和践行绿水青山就是金山银山的理念，协同推进降碳、减污、扩绿、增长，构建从山顶到海洋的保护治理大格局，积极稳妥推进和实现碳达峰，加快经济社会发展全面绿色转型，争创国家生态文明建设示范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提出，统筹发展和安全，建设更高水平平安泉州。坚定不移贯彻总体国家安全观，加强国家安全保障能力建设，健全主动创稳机制，筑牢重点领域安全防线，强化公共安全保障，健全社会治理体系，积极服务国防和军队现代化建设，维护社会大局安定稳定。</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全会强调，全市各级党组织和广大党员、干部群众要凝聚合力，坚持和加强党的全面领导，深化拓展全过程人民民主实践，推进法治泉州建设，健全规划制定和落实机制，为实现“十五五”规划团结奋斗。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强调，坚持以党的自我革命引领社会革命，持之以恒推进全面从严治党，着力鼓劲头、优作风、严纪律，巩固发展风清气正的良好政治生态。全市各级领导干部要带头向谷文昌、廖俊波等同志学习，牢固树立和践行造福人民的政绩观，激发“敢拼、爱拼、善拼”的拼搏精神，传承弘扬“马上就办、真抓实干”优良作风，全面落实“四下基层”制度，不忘初心、担当作为、廉洁奉公，持续营造激情燃烧、干事创业、奋勇争先的浓厚氛围。</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会强调，要统筹做好岁末年初各项工作。坚决实现全年经济社会发展目标，着力稳就业、稳企业、稳市场、稳预期，巩固经济回升向好势头。切实抓好民生保障、安全生产和维护稳定工作，确保社会大局稳定。谋深谋实明年思路举措，确保开好局、起好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eastAsia="宋体"/>
          <w:kern w:val="0"/>
          <w:lang w:val="en-US" w:eastAsia="zh-CN"/>
        </w:rPr>
      </w:pPr>
      <w:r>
        <w:rPr>
          <w:rFonts w:hint="eastAsia"/>
          <w:kern w:val="0"/>
          <w:lang w:val="en-US" w:eastAsia="zh-CN"/>
        </w:rPr>
        <w:t>全会号召，全市各级党组织和广大党员、干部群众要更加紧密地团结在以习近平同志为核心的党中央周围，传承弘扬、创新发展“晋江经验”，牢记嘱托、砥砺前行，大拼经济、大抓发展，为加快建设21世纪“海丝名城”，奋勇争先推进中国式现代化泉州实践不懈奋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eastAsia="宋体"/>
          <w:kern w:val="0"/>
          <w:lang w:val="en-US" w:eastAsia="zh-CN"/>
        </w:rPr>
      </w:pPr>
      <w:r>
        <w:rPr>
          <w:rFonts w:hint="eastAsia"/>
          <w:kern w:val="0"/>
          <w:lang w:val="en-US" w:eastAsia="zh-CN"/>
        </w:rPr>
        <w:t>（来源：泉州发布）</w:t>
      </w: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spacing w:line="320" w:lineRule="exact"/>
        <w:rPr>
          <w:rFonts w:hint="eastAsia" w:ascii="微软雅黑" w:hAnsi="微软雅黑" w:eastAsia="微软雅黑" w:cs="微软雅黑"/>
          <w:b w:val="0"/>
          <w:i w:val="0"/>
          <w:caps w:val="0"/>
          <w:spacing w:val="7"/>
          <w:sz w:val="25"/>
          <w:szCs w:val="25"/>
          <w:shd w:val="clear" w:fill="FFFFFF"/>
          <w:lang w:val="en-US" w:eastAsia="zh-CN"/>
        </w:rPr>
      </w:pPr>
    </w:p>
    <w:p>
      <w:pPr>
        <w:pStyle w:val="3"/>
        <w:spacing w:after="0"/>
        <w:rPr>
          <w:rFonts w:hint="eastAsia"/>
          <w:sz w:val="24"/>
          <w:szCs w:val="24"/>
          <w:lang w:val="en-US" w:eastAsia="zh-CN"/>
        </w:rPr>
      </w:pPr>
      <w:r>
        <w:rPr>
          <w:rFonts w:hint="eastAsia"/>
          <w:lang w:val="en-US" w:eastAsia="zh-CN"/>
        </w:rPr>
        <w:t>中共泉州市委关于制定泉州市国民经济和社会发展第十五个五年规划的建议</w:t>
      </w:r>
    </w:p>
    <w:p>
      <w:pPr>
        <w:pStyle w:val="3"/>
        <w:spacing w:after="0"/>
        <w:rPr>
          <w:rFonts w:hint="eastAsia"/>
          <w:sz w:val="24"/>
          <w:szCs w:val="24"/>
          <w:lang w:val="en-US" w:eastAsia="zh-CN"/>
        </w:rPr>
      </w:pPr>
      <w:r>
        <w:rPr>
          <w:rFonts w:hint="eastAsia"/>
          <w:sz w:val="24"/>
          <w:szCs w:val="24"/>
          <w:lang w:val="en-US" w:eastAsia="zh-CN"/>
        </w:rPr>
        <w:t>中共泉州市委关于制定泉州市国民经济和社会发展第十五个五年规划的建议</w:t>
      </w:r>
    </w:p>
    <w:p>
      <w:pPr>
        <w:pStyle w:val="3"/>
        <w:spacing w:after="0"/>
        <w:rPr>
          <w:rFonts w:hint="eastAsia"/>
          <w:sz w:val="24"/>
          <w:szCs w:val="24"/>
          <w:lang w:val="en-US" w:eastAsia="zh-CN"/>
        </w:rPr>
      </w:pPr>
      <w:r>
        <w:rPr>
          <w:rFonts w:hint="eastAsia"/>
          <w:sz w:val="24"/>
          <w:szCs w:val="24"/>
          <w:lang w:val="en-US" w:eastAsia="zh-CN"/>
        </w:rPr>
        <w:t>（2025年11月28日中国共产党泉州市第十三届委员会第十次全体会议通过）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中国共产党泉州市第十三届委员会第十次全体会议，认真学习贯彻党的二十届四中全会精神，落实省委十一届九次全会部署，紧密结合泉州实际，就制定泉州市国民经济和社会发展第十五个五年规划提出以下建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一、“十五五”时期是奋勇争先推进中国式现代化泉州实践的关键时期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十四五”时期二十一世纪“海丝名城”建设取得重大成就。“十四五”时期是泉州发展历程中极不寻常、极不平凡的五年。五年来，面对错综复杂的外部形势和艰巨繁重的改革发展稳定任务，市委坚持以习近平新时代中国特色社会主义思想为指导，坚决贯彻落实习近平总书记重要讲话重要指示批示精神和党中央决策部署，在省委正确领导下，团结带领全市人民传承弘扬、创新发展“晋江经验”，经受住世纪疫情严重冲击，持续大拼经济、大抓发展，深入实施“强产业、兴城市”双轮驱动战略和“抓项目、促发展”系列专项行动，奋力建设海丝名城、智造强市、品质泉州，取得新的重大成就。坚持把招商引资和招才引智作为战略性先导工程，九大千亿制造业集群和50条县域重点产业链持续壮大，现代体育产品集群入选国家先进制造业集群，国家级中小企业特色产业集群达7个，工业（产业）园区标准化建设模式获全省、全国推广，入选国家制造业新型技术改造城市试点、中小企业数字化转型试点城市，产业数字化规模领跑全省，获评国家创新型城市。民营经济活力进一步激发，“晋江经验”首次写入中央文件，连续五年召开“新春第一会”民营经济发展大会，设立“泉州企业家日”，形成“法治护企、政策找企、泉心泉意帮企、万名干部进万企”服务矩阵，连续三届获评全国营商环境创新城市、全省营商环境标杆城市，获批实施盘活利用低效用地、福厦泉要素市场化配置等60余个“国字号”改革试点。二十一世纪海上丝绸之路先行区建设扎实推进，聚侨引侨和泉商回归成效显著，出台全国首部华侨历史遗存保护条例，举办“海丝”侨商投资贸易大会，落地全省首个侨汇结汇便利化试点，进出口总额创入世以来新高，聚力打造“世遗泉州·时尚之都”。两岸融合发展不断深化，金门供水安全保障能力持续提升，两岸（厦泉金）合作发展区泉州片区启动建设，“台胞台企登陆第一数据港”全国首创。城市能级和品质不断提升，中心市区规划建设实现一体化管理，世遗宋元古城国家文物保护利用示范区加快创建，中央商务区、中央活力区加速起势，中心市区城建投资占全市比重由四分之一提升至三分之一，GDP占比由19.4%提升至20.1%，环湾建成区面积突破270平方公里。区域协调和城乡融合发展稳步推进，融入厦漳泉都市圈建设成效明显，共同富裕“1+3+N”发展路径有效探索，5个县（市）上榜全国综合实力百强县市。“泉州：宋元中国的世界海洋商贸中心”入选《世界遗产名录》，荣膺“世界美食之都”，培育形成文旅千亿产业集群。民生福祉日益改善，坚持七成五以上财力投入民生，为民办实事项目年投资额从16亿元增加到135亿元，基础教育教学质量、医疗保障水平居全省前列，乡村全面振兴支撑更稳，美丽泉州建设全面铺开。党建引领基层治理主动创稳，“党建+”邻里中心、综治中心、基层小微权力监督平台等“两中心一平台”高效运行，制定地方性法规10部、政府规章6部，法治泉州、平安泉州建设成色更足。全面从严治党成效显著，建成“循迹刺桐”主题教室等9个省级、65个市级教学点，反腐败斗争纵深推进，风清气正良好政治生态持续巩固，激情燃烧、干事创业、奋勇争先氛围浓厚。“十四五”规划主要目标即将完成，为实现二〇三五年远景目标奠定坚实基础。这些成就的取得，正是党中央决策部署在泉州的生动实践，根本在于以习近平同志为核心的党中央掌舵领航，在于习近平新时代中国特色社会主义思想科学指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十五五”时期泉州发展面临的机遇和挑战。当前和今后一个时期，世界之变、时代之变、历史之变交织叠加，不确定难预料因素增多，战略机遇与风险挑战并存。放眼全球，国际力量对比深刻调整，新一轮科技革命和产业变革加速突破，国际经济贸易秩序面临严峻挑战。纵观国内，我国经济基础稳、优势多、韧性强、潜能大，长期向好的支撑条件和基本趋势没有变，中国特色社会主义制度优势、超大规模市场优势、完整产业体系优势、丰富人才资源优势更加彰显。福建省始终沿着习近平总书记亲自擘画的“机制活、产业优、百姓富、生态美”新福建宏伟蓝图砥砺前行，全省发展基础更加坚实，动力更加强劲，前景更加光明。立足自身，泉州站位省域三大中心城市，充分发挥民营经济、世遗文化、海丝、对台和华侨等比较优势，有为应对区域间、城市间竞合格局，高质量发展的潜力巨大、前景广阔。但发展不平衡不充分的问题仍然突出，科技创新动力不足，产业结构有待优化，城市能级亟待跃升，有效需求挖掘乏力，就业和居民收入增长压力加大，优质民生服务供给不够均衡，人口结构变化对经济发展、社会治理等提出新课题，重点领域还有风险隐患。</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五五”时期是承前启后、继往开来，夯实基础、全面发力，奋勇争先、再上台阶的关键时期，要深刻领悟“两个确立”的决定性意义，增强“四个意识”、坚定“四个自信”、做到“两个维护”，保持战略定力，增强必胜信心，积极识变应变求变，敢于斗争、善于斗争，以历史主动精神克难关、战风险、迎挑战，扭住目标不放松、一张蓝图绘到底，奋勇争先推进中国式现代化泉州实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二、“十五五”时期泉州经济社会发展的总体要求、重要遵循和主要目标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总体要求。坚持马克思列宁主义、毛泽东思想、邓小平理论、“三个代表”重要思想、科学发展观，全面贯彻习近平新时代中国特色社会主义思想，深入贯彻党的二十大和二十届历次全会精神，全面落实习近平总书记对福建、对泉州工作的重要讲话重要指示批示精神，按照省委工作要求，传承弘扬、创新发展“晋江经验”，紧紧围绕加快建设二十一世纪“海丝名城”、奋勇争先推进中国式现代化泉州实践这一主线，高质量推进两岸融合发展示范区建设这一使命，统筹推进“五位一体”总体布局，协调推进“四个全面”战略布局，完整准确全面贯彻新发展理念，积极服务和深度融入新发展格局，坚持稳中求进工作总基调，坚持以经济建设为中心，以全方位推动高质量发展为主题，以改革创新为根本动力，以满足人民群众日益增长的美好生活需要为根本目的，以全面从严治党为根本保障，努力在推动科技创新和产业创新深度融合上闯出新路，在全面深化改革、扩大高水平开放上奋勇争先，在推动区域协调发展和城乡融合发展上作出示范，在提升文化影响力、展示泉州新形象上久久为功，推动经济实现质的有效提升和量的合理增长，推动人的全面发展、全体人民共同富裕迈出坚实步伐，确保基本实现社会主义现代化取得决定性进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重要遵循。习近平总书记在福建工作期间，亲自总结提出以“六个始终坚持”和“正确处理好五大关系”为主要内容的“晋江经验”，闪耀着马克思主义真理光芒，指引泉州各项事业取得长足发展，也必将继续指引泉州在新征程上战胜一切艰难险阻。“十五五”时期，泉州推动经济社会发展必须遵循“六个坚持”重要原则，即坚持党的全面领导，坚持人民至上，坚持高质量发展，坚持全面深化改革，坚持有效市场和有为政府相结合，坚持统筹发展和安全；同时，注重把握好省委“六个必须”基本要求，即必须坚持不懈用习近平新时代中国特色社会主义思想凝心铸魂，必须坚决扛牢党中央赋予的重大使命，必须切实担起经济大省挑大梁的重大责任，必须把改革精神改革思维改革方法贯穿始终，必须探索具有福建特色的共同富裕之路，必须激发争优争先争效的昂扬斗志，冲锋在前、担当在先，奋力书写“晋江经验”新篇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5.主要目标。今后五年，努力推动经济增长保持在合理区间，人均地区生产总值接近或达到中等发达国家水平，经济社会高质量发展取得新成效，实现以下主要目标。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产业体系结构更优。“南高新、北石化、环湾崛起、县域做强”的新质生产力空间格局基本形成，全要素生产率稳步提升，科技创新和产业创新深度融合成效显现，传统优势产业转型升级走在前列，新兴支柱产业成型成势，服务业优质高效发展，基本建成高水平国家创新型城市，成为全国重要的先进制造基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民营经济活力更足。市场经济体制机制更加成熟，要素市场化配置综合改革全面推进，民营经济先行示范效应不断激发，营商环境保持全省领先、跻身全国一流，市场主体加快国际化布局并迈向全球价值链高端，培育更多链主企业和世界一流品牌。</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海丝枢纽能级更高。二十一世纪海上丝绸之路先行区和战略支点城市功能充分发挥，开放型经济发展水平持续提升，工贸并举、内外贸一体化加快发展，聚侨引侨和泉商回归成果丰硕，若干产业链供应链中心初具全球影响力，区域综合交通体系内畅外联，成为高效链接国内国际双循环的重要节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两岸融合联结更深。泉台交流合作深入推进，两岸融合重要通道功能有效发挥，两岸（厦泉金）合作发展区泉州片区建设取得实质进展，世界闽南文化交流中心功能彰显，台胞台企登陆第一家园效应显现，与澎湖融合发展实践迈出坚实步伐，更好服务和融入两岸融合发展示范区建设。</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世遗文旅品牌更响。“宋元中国·海丝泉州”享誉全球，世界遗产突出的普遍价值得到系统保护、精彩阐释和活化利用，以文塑旅、以旅彰文双向赋能，文化事业和文化产业繁荣发展，高品质公共文化服务更加普惠可及，新时代精神文明建设取得显著成效，城市精神品格更加鲜明、文化软实力更加彰显。</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域共富步伐更稳。环泉州湾中心城区扩容提级，县域竞争力稳步提升，城乡融合发展和乡村全面振兴扎实推进，高质量充分就业和居民增收取得新进展，社会保障体系更加完善，基本公共服务均等化水平进一步提升，法治泉州、平安泉州建设扎实推进，重点领域风险得到有效防范化解，社会治理和公共安全治理水平明显提高，创新、宜居、美丽、韧性、文明、智慧的现代化人民城市加快建设，打造共同富裕美好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生态绿城底色更靓。生态市建设高位推进，从山顶到海洋的保护治理大格局基本形成，主要污染物排放总量逐步减少，生态环境质量稳步提升，碳达峰目标如期实现，绿色生产生活方式普遍推广，优质生态产品供给更加充分，经济社会发展全面绿色转型取得显著成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在此基础上再奋斗五年，到二〇三五年全市经济实力、科技实力、综合竞争力大幅跃升，人民生活更加幸福美好，建成海丝名城、智造强市、品质泉州，在基本实现社会主义现代化中走在前列。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三、更高水平建设现代化产业体系，打造全国先进制造基地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牢记“心无旁骛做实业”，突出智能化、绿色化、融合化方向，持续打好“强引擎、建载体、铸链条、提存量、拓增量、优环境”组合拳，服务全省万亿立柱、千亿提升、百亿成势发展格局，加快建设“955”产业集群，构建以先进制造业为骨干、现代服务业为依托、基础设施为保障的现代化产业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6.加快建设新型工业化强市。巩固提升先进制造业竞争优势，做强做优纺织服装、鞋业、石油化工、建材家居、机械装备、食品饮料、工艺制品、纸业印刷、电子信息等九大千亿制造业集群，发展壮大新材料、生物医药、人工智能、新能源、低空经济等五个新兴产业，适度前瞻布局卫星互联网、量子信息、具身智能、核能应用等未来产业，争取培育若干新的百亿级、千亿级产业集群，争创国家新型工业化示范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深化制造业“智改数转”，加快产业发展模式和企业组织形态变革，打造具有世界影响力的现代体育产品制造业集群，争创智能家居国家先进制造业集群。实施产业创新工程，推进新技术新产品新场景大规模应用示范，加快新兴产业规模化发展。建立未来产业投入增长和风险分担机制，谋划建设未来产业先导区。深化开发区管理制度改革，构建权责清晰的管理体制、灵活高效的运营机制。严格落实工业产业区块线管理制度，创新工业（产业）园区标准化建设和运营管理机制，以园区标准化建设推动国土空间高质量重构，以创新推动产业链高质量重塑。深入实施消费品工业“三品”战略，增强标准引领和质量支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7.推动服务业扩能提质。推动现代服务业与先进制造业、现代农业融合发展，重点打造商贸物流、制造服务、数字服务、文化旅游、金融服务等五个现代服务业。商贸物流业锚定降本增效，做大做强港航物流、冷链物流、专业市场和会展经济等，建设区域性物流枢纽和商贸中心。制造服务业聚焦两业融合，加快发展工业设计、技术服务、知识产权、人力资源、审计法务等。数字服务业突出赋能实体，发展工业互联网、信息服务、数字内容、线上经济等。文化旅游业深化数智应用，发展新业态新场景，做强世界遗产、滨海休闲、山地生态、工业时尚等旅游板块。金融服务业强化产融合作，发展科技金融、绿色金融、普惠金融、养老金融、数字金融，打造区域性金融中心。推动健康养老、居民服务、智慧零售等生活性服务业高品质、多样化、便利化发展。推进服务业标准化建设、数智化转型，健全服务质量管理体系，做好服务业统计监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8.构建现代化基础设施体系。适度超前建设新型基础设施，推动传统基础设施更新和数智化改造。推进国家数据基础设施建设试点，推进数字福建（安溪）产业园数据中心二期、泉州先进计算中心等建设，优化布局网络、算力、数据等新型基础设施，打造泛在高效新一代信息网。加强交通设施跨区域统筹布局、跨方式一体衔接，打造现代化立体综合交通网。建设新型能源基础设施，强化能源可靠供应能力，打造清洁低碳安全高效能源保障网。增强洪涝灾害防御、水资源统筹调配、城乡供水保障能力，打造安全韧性现代大水网。大力发展多式联运，完善城乡配送网络，打造干支仓配一体运行物流网。推进城市平急两用公共基础设施建设。</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四、以科技创新引领新质生产力发展，建设高水平国家创新型城市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坚持以科技创新引领产业创新、以产业创新推动科技创新，全力抓创新促应用，推动创新链产业链资金链人才链深度融合，提升体系化科技创新能力，打造具有全国影响力的产业创新高地和区域创新中心。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9.培育创新型企业雁阵梯队。突出企业创新主体地位，打造企业主导、多元协同的创新体系。培育壮大科技领军企业，鼓励企业与高校、科研院所等共建创新联合体，申创国家级、省级技术创新中心。构建“创新型中小企业—高新技术企业、专精特新企业—科技领军型企业”成长梯队，加快培育一批独角兽企业、单项冠军。建立健全“链长+链主+链创”协同机制，推动产业链各环节主体融通创新，打造创新型产业社区、“楼上楼下”创新综合体。深化“揭榜挂帅”“赛马”等攻关机制，探索“科学家+企业家”等融合创新模式。深入实施规模以上工业企业研发活动“全覆盖两提升”行动，完善企业研发投入激励机制，引导企业建立研发准备金制度，支持设立“科创飞地”。加大政府采购自主创新产品力度。</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10.完善全链条科技成果供给转化应用体系。提高福厦泉国家自主创新示范区创新引领能力，前瞻布局基础研究和应用基础研究，建好清源、刺桐创新实验室等科创平台，打造创新策源地。优化城市创新空间布局，高标准规划建设南翼国家高新区、北翼现代石化创新高地、环湾科创带。实施强院强所行动，持续推动向中国科学院海西研究院泉州装备制造研究中心、福建（泉州）先进制造技术研究院等大院大所放权赋能，推进科研资源共享，加速科研院所市场化转型，与本地产业集群深度嵌套。实施中试创新服务平台体系建设行动，布局建设一批工业设计中心、概念验证中心、中试验证平台。建强科技成果转移转化公共服务平台，发挥国家技术转移东部中心泉州分中心、技术转移转化数字化平台功能，加强专业化市场化技术转移机构、科技中介组织和技术经纪人队伍建设。推广科技成果“先使用后付费”。深化职务科技成果赋权改革。完善创新创业孵化服务体系，推动创业孵化资源集成服务。深化科技特派员制度。完善知识产权保护体系，促进知识产权高质量创造、运用和保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11.一体推进教育科技人才发展。健全一体推进的领导体制和工作机制，强化规划衔接、政策协同、资源统筹、评价联动。优化高校布局，支持华侨大学建设“双一流”高校、泉州师范学院建设一流应用型高校，支持黎明大学建设高水平国际化本科层次职业大学，推动仰恩大学、泉州信息工程学院等争创高水平应用型高校，推动优质高职专科院校升格本科层次，加强新兴学科、重点学科、交叉学科建设，优先发展“新工科”，推进“桐江学者奖励计划”，增强高校人才培养和原始创新能力。深化国家产教融合试点城市建设。推进人才人口“双增”行动，深耕人才“港湾计划”，统筹用好双招双引、以才引才、柔性引才等抓手，探索“以赛代评”机制，大力引育高层次领军人才和创新团队。深化项目评审、机构评估、人才评价、收入分配改革，激发创新创造动力活力。健全政产学研融合发展机制，畅通高校、科研机构、企业人才交流通道。做大做强科创基金。培育创新文化，弘扬科学家精神，加强科技法治、伦理、诚信、安全建设，推动科普科创双向赋能。争创国防科技工业军民融合创新示范基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12.深化数字泉州建设。一体推进数字经济、数字政府、数字社会建设，打造城市全域数字化转型标杆。推进实体经济与数字经济深度融合，加快国家数据产业集聚区试点建设，实施工业互联网创新发展工程，探索打造跨行业跨领域工业互联网平台，推广“互联网+制造”等模式，推动新一代移动通信技术、物联网、边缘计算等新技术深度应用。加快人工智能等技术创新，深入推进“人工智能+”行动，加快建设省级人工智能产业园，加强人工智能同产业发展、文化建设、民生保障、社会治理相结合，争创国家人工智能创新应用先导区。加强人工智能治理。引导平台经济创新和健康发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五、积极服务和融入国内大循环，构筑新发展格局战略支点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坚守扩大内需战略基点，坚持惠民生和促消费、投资于物和投资于人紧密结合，以新需求引领新供给，以新供给创造新需求，促进消费和投资、供给和需求良性互动。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13.打造区域消费中心城市。深入实施提振消费专项行动，统筹促就业、增收入、稳预期，合理提高公共服务支出占财政支出比重，增强居民消费能力。深化农工商旅文体健跨界融合，建设消费新业态新模式新场景试点城市，打造“世遗泉州·时尚之都”。统筹推进城乡商业体系建设，实施品质消费载体升级行动，打造中心市区高端商业综合体与国际品牌集聚区，推进县域特色时尚消费街区改造升级，推动农村消费市场繁荣发展，实现商品消费和服务消费相互促进。培优商贸市场主体，大力发展品牌首店、旗舰店、买手店、免税店等实体化新零售场景，鼓励知名品牌在泉首发首秀首展，壮大入境消费规模。深化商贸全链条智慧化转型，融合发展线上线下消费。开展服务消费提质惠民行动，打造夜间经济集聚区，擦亮“一县一桌菜”等消费品牌，建设“世界美食之都”。完善促进消费制度机制，落实带薪错峰休假。</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14.积极扩大有效投资。完善高质量招商工作机制，深入推进“抓开放招商促项目落地”行动，持续抓实项目开工、投产、纳统。围绕新质生产力培育，适应人口结构变化和流动趋势，系统谋划重大优质产业投资、重大基础设施投资、重大生态环境和公共设施投资项目，保持投资合理增长，提高投资质量效益。扩大高技术制造业和新兴产业投资，支持企业设备更新和技术改造。优化政府投资结构，提高民生类政府投资比重，更大力度服务国家“两重”建设。打好“财政政策+金融工具”组合拳，优化政府投资计划编制。加强政府投资项目全生命周期管理，加强项目梯队储备和跨区域、跨流域、跨领域项目谋划论证，实施一批标志性重大项目，提高项目建设效率、管理效能、产出效益。完善民营企业参与重大项目建设长效机制，发挥政府投资基金引领带动作用，提高民间投资比重，形成市场主导的有效投资内生增长机制。</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15.主动融入全国统一大市场建设。严格执行全国统一大市场建设指引，实行统一的产权保护、市场准入、公平竞争、社会信用制度，消除要素获取、资质认定、招标投标、政府采购等方面壁垒，规范地方政府经济促进行为，破除地方保护和市场分割。加强公平竞争审查刚性约束，强化反不正当竞争执法司法，综合整治“内卷式”竞争。统一市场监管执法，强化市场监管标准化规范化数字化建设，增强市场综合监管能力。推进地方标准综合管理制度改革。打造国家现代流通战略支点城市，促进全社会物流降本增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六、深化经济体制改革，争创民营经济高质量发展城市范例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坚持社会主义基本经济制度，更好发挥经济体制改革牵引作用，推动有效市场和有为政府更好结合，促进改革与发展深度融合、高效联动，勇当新时代民营经济强省战略主力军。</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16.促进民营经济健康发展、高质量发展。加快“晋江经验”地方立法，深化新时代民营经济高质量发展综合改革。实施重点工业企业倍增行动，力争培育若干千亿级、五百亿级、百亿级的民营头部企业。支持企业开展国际管理体系认证，营造全球化品牌矩阵和营销网络。多渠道支持中小企业和个体工商户发展，有序推动“个转企、小升规、规转股、股上市”。依法保护民营企业产权和企业家合法权益，完善涉企收费长效监管和拖欠企业账款清偿长效机制。做深做实纪检监察机关促进民营经济发展壮大“四个一批”专项行动。发挥泉州非公企业党建特色品牌优势，引导民营企业建立和完善现代企业制度。大力弘扬企业家精神，培育新时代企业家传承梯队，促进民营企业家健康成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17.推动国有经济与民营经济协同发展。实施新一轮国有企业改革专项行动，做强做优做大国有企业和国有资本，增强核心功能、提升核心竞争力。推进国有经济布局优化和结构调整，加强国有资本在前瞻性战略性新兴产业、未来产业等重点领域投入和能源安全、现代基础设施、民生保障等公共服务领域布局。健全以管资本为主的国有资产监管体制，完善国有企业分类考核评价体系。做大做精做强国资基金体系，推动国资出资成为长期资本、耐心资本。深化混合所有制改革，支持国企民企按照市场机制加强产业链供应链对接合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18.打造一流营商环境。聚焦市场化、法治化、国际化、便利化，集成构建“泉速办、泉服务、泉信融、泉护企、泉惠企”五大“泉心泉意”营商环境品牌。推进新时代机关效能建设，在更多领域更大范围加强部门协同和服务集成，推进“高效办成一件事”向“高效办成一类事”拓展。深化政务服务“数据最多采一次”，建设“无证明城市”，深化国家“公共数据‘跑起来’”示范场景建设，推进“人工智能+政务服务”，提升政务服务满意度。深化诚信泉州建设，全面实施《泉州市社会信用条例》，建立健全政府诚信履约机制，构建覆盖各类主体、制度规则统一、共建共享共用的社会信用体系。加强产权执法司法保护，健全规范涉企执法长效机制。发扬政企互动优良传统，秉持“不叫不到、随叫随到、服务周到、说到做到”理念，建好用好“亲清泉州”护航民营经济发展云监督中心，发挥宜商环境观察点作用，深化“万名干部进万企”“政企恳谈会”机制，提升“政策找企”服务质效，推动惠企政策“免申即享”、惠企资金“直达快享”，全面构建亲清政商关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19.完善要素市场化配置体制机制。深入推进福厦泉要素市场化配置综合改革试点，完善要素市场制度和规则，推动要素质量逐步提高、生产要素畅通流动、各类资源高效配置、市场潜力充分释放。加强要素市场化交易平台建设，健全要素市场治理机制。探索优化土地管理和高效配置，深化盘活利用低效用地试点，优化工商业存量土地利用，创新“混合产业用地供应+土地用途灵活转换”方式，依法有序推进工商业用地使用权续期工作。稳妥推进农村集体经营性建设用地入市试点，建立城乡统一的建设用地市场。深化农村集体产权制度改革，推广“福林票”等生态资源资产化利用模式。进一步深化户籍制度改革，畅通劳动力和人才社会性流动渠道。深化数据要素市场化改革。推动新业态新领域生产要素创新性配置。编制宏观资产负债表，全面摸清全市存量资源资产底数，优化资产负债结构。健全闲置低效资源资产盘活处置机制，推进行政事业单位存量国有资产盘活共享。推动司法判决执行与破产制度有机衔接，依法有效盘活被查封冻结财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20.提升经济治理效能。完善战略规划体系和政策统筹协调机制，强化战略、产业等重大规划引领，推进跨县域、跨部门、跨领域、跨层级高效协同。健全预期管理机制，加强政策研究储备，增强经济政策和非经济政策与宏观政策取向一致性，强化政策实施效果评价。</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深化财税体制改革。健全预算制度，加强财政资源和预算统筹，强化落实重大战略任务和基本民生财力保障。深化零基预算改革，统一预算分配权，提高预算管理统一性、规范性，推进预算管理和绩效管理深度融合。深化税收征管改革，提升市县财力同事权相匹配程度，有效涵养和拓展地方税源。规范非税收入管理。推进融资平台改革转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深化地方金融体制改革，引导金融更好服务实体经济。健全覆盖企业全生命周期的政府引导基金体系，建立以尽职合规责任豁免为核心的容错机制。推进基金集聚区扩容，培育壮大耐心资本。完善政银企担融资对接长效机制，提升“信易贷”平台服务质效，创新基于园区的金融服务。优化企业上市服务机制，支持民营企业发行债券，提高直接融资比重。加强国有金融资本管理，提升金融企业服务质量和效率。引导泉州银行等城市商业银行扎根服务地方经济发展，深化农村信用社改革。完善地方金融监管体制。健全金融风险预防、预警、处置、问责工作机制，打击非法金融活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七、推进高水平对外开放，提升二十一世纪海上丝绸之路先行区建设能级</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弘扬向海图强的海洋文化，坚持以开放促改革促发展，加快构建开放型经济新体制，打造双循环战略支点城市。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21.稳步推进制度型开放。主动对接国际高标准经贸规则，申报纳入中国（福建）自由贸易试验区扩区范围，争取改革授权和政策试验，复制推广自贸区创新成果，探索打造自贸片区联动创新区。加强贸易政策合规工作，升级国际贸易“单一窗口”服务，推动贸易、投资、资金流动、交通运输、人员往来自由便利和数据安全有序流动。争取国家高新区扩区提质，加快海关特殊监管区域转型发展，建设一批外贸集聚区、跨境贸易服务平台，打造东南沿海高水平对外开放高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22.深化工贸一体融合互促。争创跨境贸易便利化专项行动试点城市，叠加跨境电商综合试验区、进口贸易促进创新示范区、市场采购贸易等试点效应，推动外贸新业态新模式规范健康发展。深化外贸企业倍增行动，培育壮大外贸主体。推动市场多元化和内外贸一体化，深入实施“国潮泉州”优品出海行动，优化海外公共仓和展销中心布局，支持品牌企业赴海外开设首店，加快建设全球消费品集采中心。推广“跨境电商+产业带”“厂商+侨商”模式，优化升级货物贸易，拓展中间品贸易、绿色贸易。做强文化、旅游等服务贸易，扩大优质服务进口。创新发展数字贸易，推动外贸全链条数字化转型。</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23.强化双向投资合作。深化外商投资管理体制改革，优化布局海外招商网络，大力吸引外资和境外上市企业返程投资，促进外资企业境内再投资。完善外商投资服务保障，健全外资企业投诉协调工作机制，保护外商投资合法权益。完善对外投资管理服务机制，健全泉企出海综合服务体系，支持企业开展国际并购。促进贸易投资一体化，拓展共建“一带一路”国家和地区、金砖国家、全球南方等新兴市场，稳妥有序推进海外布局，构筑“根留泉州”的全球产业链供应链中心。</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24.深化海丝重要门户城市建设。主动融入和服务高质量共建“一带一路”，全面融入二十一世纪海上丝绸之路核心区建设，加强与共建“一带一路”国家和地区的基础设施互联互通、经贸合作和人文交流，推进绿色、创新、数字、海洋、健康等新兴领域合作。深度融入“丝路海运”港航贸一体化发展，拓展近洋航线，提升国际航运服务能力。完善铁路网络布局，有序推进城际铁路、港口支线等项目建设，畅通西向铁路运输大通道。对接“丝路飞翔”“数字丝路”等通道建设。深化拓展国际友城合作，高质量服务国家总体外交。</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25.打好新时代新“侨牌”。牢固树立“大侨务”观念，完善“聚侨引侨和泉商回归”长效机制，办好“海丝”侨商投资贸易大会等标志性活动。创新涉侨服务机制，优化提升“故土家园”“刺桐侨汇”等载体，更好发挥南洋华裔族群寻根谒祖综合服务平台功能，加强海外重点侨团、重点代表人士联络联谊，推进和谐侨社建设。用心用情做好新华侨华人和华裔新生代工作，增强“侨二代”“侨三代”群体的“根魂梦”意识。支持华侨参与海内外经贸体系建设，探索组建侨商产业投资基金，提升华侨金融服务质效，吸引侨胞侨企返乡投资兴业，多渠道汇聚侨资侨智侨力。推进华侨历史遗存传承保护和活化利用，深化“刺桐侨厝”保护利用，加快泉州华侨历史博物馆新馆建设，加强侨批档案等文化载体抢救保护、研究开发，推进镇村（侨）史馆建设。加强侨务法治建设。以侨为桥拓展民间外交渠道。提升泉州与港澳交流合作的层次和水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八、探索泉台融合发展新路，打造台胞台企登陆第一家园</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深入贯彻新时代党解决台湾问题的总体方略，发挥台湾汉族同胞主要祖籍地优势，深化泉台社会融合、经贸融合、情感融合实践，打造两岸共同家园，建设两岸共同市场，弘扬两岸共同文化，为全省打造两岸融合发展示范区贡献力量。</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26.建设宜居宜业共同家园。推动泉台基础设施应通尽通，做大石井对台客货运枢纽，推进泉厦金高速公路等前期工作。筑牢向金门供水安全保障体系，积极创造条件与金门通电、通气、通桥。完善增进台胞福祉和享受同等待遇的政策制度，加强台胞台企权益保障，便利台胞在泉就业、就医、就学、购房。扩大泉台高等教育、职业教育等领域合作，完善台湾职业资格直接采认和采信制度，建好用活台湾青年就业创业基地等平台，吸引更多台胞来泉。支持台胞投身生态环保、乡村振兴、基层治理、社会公益等事业发展。加强涉台司法服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27.提高泉台经贸合作质效。优化涉台营商环境，进一步放宽台资台企市场准入限制，强化市场规则衔接、经贸机制对接，促进两岸标准共通。滚动实施泉台融合发展重点项目。深化对台集成电路、精细化工、生物医药、装备制造、现代农业等领域合作，高质量建设泉州台商投资区、海峡两岸集成电路产业合作试验区等涉台园区。积极争创海峡两岸中小企业合作区，支持泉州台商投资区、南翼国家高新区等有条件的区域建设两岸生物医药产业园。创新发展对台小额贸易，探索对台跨境贸易中转等新业态。提升对台金融服务质效。加强对台科研合作，支持台胞台企参与科技项目。</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28.构筑泉台人文交流高地。擦亮“民间信仰、宗族宗亲、传统文化、青年一代”四大交流品牌，建设世界闽南文化交流中心。深化海峡两岸闽南文化溯源交流工程，加快闽南文化博览园等项目建设，培优做强对台交流基地，深化两岸谱牒文化研究，建设“迁台记忆”档案资源平台，办好涉台文化活动，打造祖地文化品牌。深化民间交流交往，常态化开展族谱对接、寻根谒祖、宗亲联谊、信俗文化等活动。深化传统艺术、文旅、影视、创意等领域对接合作，打造两岸潮流文化策源地。建立泉台青年团体常态化交流渠道。加强泉台体育项目合作和赛事交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29.打造两岸融合发展先行区。推动两岸（厦泉金）合作发展区泉州片区高标准规划、实质性建设，策划生成一批重大项目，积极争取政策支持，集聚更多高新技术企业和高端创新要素。参与建设两岸融合发展“数据港”“数据门户”，探索构建高效便利安全的数据跨境流动机制。深度参与厦漳泉金“同城生活圈”建设。支持各县（市、区）因地制宜开展与金门、澎湖等地融合发展实践。</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九、优化提升城市发展空间格局，建设区域性中心城市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深入实施区域协调发展战略、区域重大战略、主体功能区战略，推进“一湾两翼三带一屏多支点”国土空间格局落地实施，促进以产兴城、以城聚产、产城联动，增强全域统筹发展能力和中心城市极核功能。</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30.构建区域一体化发展新格局。主动对接长三角一体化发展、长江经济带发展、粤港澳大湾区建设等区域重大战略。坚持区域差异化特色化协同发展，构建沿海人口经济集中集聚、山区生态重点保护、山海之间协同联动的发展格局。向南衔接厦漳泉都市圈同城化，环围头湾全域一体规划建设南翼新城，对接厦门临空经济片区，强化跨区域基础设施联通、关联产业配套协作、公共服务共建共享，集中力量推进先行启动区和形象展示面建设，谋划建设临空临港产业园，打造科技城、工业城、未来城。向北联动莆田推进湄洲湾两岸一体化发展，推动泉港、泉惠石化园区整合升格为国家级石化经济技术开发区，推动闽中出海大通道和能源大港建设，打造“港产城”融合标杆。向西推动泉州三明山海协作，深化产业链布局、供应链协作，做强“产业飞地”“科创飞地”，打造优势互补的山海协作产业集群。推进老区苏区全面振兴。深化拓展闽宁协作，做好援藏援疆工作。</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31.建设现代化人民城市。加强统筹统管，完善中心市区规划建设一体化管理机制，建设市县统筹的城市建设运营投融资体系，稳慎优化行政区划设置，打造高首位度的一流品质湾区。古城注重提质焕新，以“见人见物见生活，留形留魂留乡愁”理念持续推进历史街区有机更新，有序疏解非文化非核心功能，建设集世遗保护、文化展示、旅游观光、消费体验于一体的文旅资源富集区，联动丰州古城等关联区域，精彩呈现“世界的古城、活着的古城”。新城注重集聚繁荣，以东海、城东等重点片区为牵引，带动跨晋江、跨洛阳江两岸梯次开发，布局建设都市产业社区、高端城市商圈、国际时尚街区、滨海生态廊道，加速功能片区串珠成链。协同推进中央商务区、中央活力区建设，培育发展总部经济、金融法务、商贸会展、高端酒店、数字服务、时尚文创等新业态。环湾注重一体崛起，推动主城区“东拓西连”，串联石狮、晋江和南安中心城区、泉州经济开发区、江南片区、北峰丰州霞美片区、洛江片区、泉州台商投资区等，构筑内生活力澎湃的环湾都市区。推进城市沿海沿江统筹开发，加强城市天际线和片区色调管控，优化提升临岸空间，构建生态浪漫线体系，塑造独具海丝风情的城市风貌。健全国土空间用途管制和规划许可制度，强化耕地和永久基本农田、生态保护红线、城镇开发边界、大陆自然岸线管控。探索实施建设用地总量按规划期管控模式，实行统筹存量和增量综合供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32.高质量开展城市更新。坚持城市内涵式发展，巩固拓展“抓城建提品质”专项行动，健全城市体检和更新一体化推进机制。实施房屋品质提升行动，分类推进老旧片区更新改造，推进好房子、好小区、好社区、好城区“四好”建设，构建“15分钟便民生活圈”。加强房屋全生命周期安全管理，有序推进城镇危旧房改造解危。深入开展物业管理提升行动。完善城市基础设施体系，统筹地下空间开发和综合利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33.优化区域综合交通体系。一体规划布局环泉州湾中心城区重大交通基础设施，重点建设覆盖海丝核心区、环湾新市区、环湾外延区“三重环”城市功能圈层的环线路网，形成“环线+放射线”交通架构，完善快速集散交通体系，系统构建“369”交通圈。突出环湾30分钟便捷通勤，持续深化“聚城畅通”工程，加快金屿、百崎、金鲤、晋江等跨江通道建设，全线贯通中环城快速通道，谋划启动南环城路、东环城路瓶颈段，强化“环环相扣、高快一体”衔接，提高中心城区交通运行效率；突出市域60分钟高效通畅，推进重点国道改扩建，加快城际铁路R1线建设，探索“站城融合”一体规划建设，加密公交接驳线网，打造“市域铁路+快速公交”模式；突出省内90分钟全域通达，加快泉梅高速、彭田高速等项目建设，推进洛丰高速等项目前期，加快石湖港后方铁路通道建设，连接兴泉铁路大通道，推进漳泉肖铁路改造和沿线活化，争取推动昌厦（福）高铁提级京台复线，纳入国家中长期铁路网规划修编。推动泉州新机场规划建设。</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34.加快建设“海洋强市”。坚持陆海统筹，完善海洋管理体制机制，持续壮大湾区经济、港口经济，争创国家级海洋经济发展示范区。加快泉州海洋生物产业研究院等平台建设，提升海洋科技创新能力。深化国家级渔港经济区建设，发展深远海养殖和远洋渔业，充实“泉海粮仓”。加强海洋能源资源、海域海岛保护和合理开发利用，做强做优临海石化、海工装备、海洋能源等临海产业，大力发展海洋生物、海洋文旅等新兴产业，构建现代海洋产业体系。规划建设“海上看泉州”项目，谋划国际邮轮码头项目。推动港口高质量发展，优化港区功能布局，整合全域港口资源，推进石湖、石井、肖厝等作业区整体连片开发，加快泊位、航道规划建设，构建顺畅高效的港口集疏运体系。加强数字海洋建设，提升海洋综合治理水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十、统筹推进新型城镇化和乡村全面振兴，走出富有泉州特色的城乡融合发展之路</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深入实施新型城镇化战略、乡村振兴战略，以全域视野和系统规划重塑城乡空间与经济联系，突出以工补农、以城带乡、协调发展、共同繁荣，联动推进优城、强县、兴村，打造城乡融合“泉州样板”。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35.推动新型城镇化高质量发展。实施新一轮农业转移人口市民化行动，推行由常住地登记户口提供基本公共服务制度。以县域为重点统筹推进城乡融合发展，引导大中小城市和小城镇协调发展、集约紧凑布局，做优“县城—中心镇—重点村”空间体系。深化扩权强县强镇改革。分类推进做大做强县城，推动东部沿海县加快向现代都市经济转型，西部山区县实施“大城关”战略，增强县城综合承载力。强化乡镇联城带村的节点功能，支持有条件的中心镇、特色镇率先发展，建设一批工业强镇、商贸重镇、旅游名镇、生态小镇。稳慎有序推进乡级行政区划和村级建制调整，破解边远农村“空心化”。</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36.发展壮大泉州特色县域经济。优化提升县域产业体系，形成以县城为枢纽、乡镇为节点、农村为基地的发展布局。推动县域重点产业链高质量发展，加快引进培育一批标杆型、龙头型链主企业，促进产业链差异化、特色化、协同化发展。引导各县域因地制宜培育发展新兴产业和未来产业。推进农村一二三产业深度融合，壮大乡村富民产业。完善县域园区规划布局，提升园区设施与服务配套水平，提升业态承载力。完善投入保障机制，推动县域基础设施一体化规划建设管护，加强县域基本公共服务供给统筹，提升城乡数字化治理和服务水平。</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37.大力发展特色现代农业。坚持产量产能、生产生态、增产增收一起抓，把农业建成现代化大产业。严格落实耕地保护和粮食安全责任制，实施新一轮粮食产能提升行动，加快高标准农田“连片整治·千亩良田”示范片建设，持续增强重要农产品供给保障能力。深入实施特色现代农业高质量发展行动，坚持农林牧渔并举，繁荣发展“十链千亿”农业特色产业，多元化推动新型农业经营主体提质强能，健全农业社会化服务体系，建设提升一批现代农业产业园、农业产业强镇、“一村一品”专业村。突出“一县一溪一特色”，打造田园风光、青山风韵、渔村风情等一批市级农商文旅场景。加快发展智慧农业和现代设施农业。拓展“泉农优品”“泉乡好货”品牌矩阵。巩固和完善农村基本经营制度，稳步推进二轮土地承包到期后再延长三十年试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38.加快建设宜居宜业和美海丝侨乡。学习运用“千万工程”经验，深入开展“千村示范引领、万村共富共美”工程，因地制宜推进乡村建设品质提升，深入实施“邻县高速通”工程和“乡镇便捷通”工程。深入实施农村人居环境整治提升行动，深化拓展和美乡村“五个美丽”建设，创造乡村优质生活空间，逐步实现“望得见山、看得见水、记得住乡愁”。搭建“新农人”培育平台，激励各类人才下乡服务和创业就业。健全常态化防止返贫致贫机制，织牢兜底保障安全网，加大开发式帮扶力度。深化抓党建促乡村振兴“六大行动”，持续实施“弱村强产”行动，发展新型农村集体经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十一、激发文化创新创造活力，建设更高水平文化强市、旅游强市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坚持马克思主义在意识形态领域的指导地位，坚定文化自信，坚持守正创新，提升泉州文化传播力、影响力，成为福建打造文化强省和世界知名旅游目的地的重要窗口。</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39.提升社会文明程度。健全用党的创新理论武装党员、教育人民、指导实践工作体系。繁荣发展哲学社会科学，推进新时代“泉州学”研究创新。以社会主义核心价值观为引领，深化公民道德建设工程，统筹推动文明培育、文明实践和文明创建，推动城乡精神文明建设融合发展，推进移风易俗。弘扬诚信文化、廉洁文化。加强和改进思想政治工作，加强红色文化遗存保护利用，加强青少年理想信念教育。加强全媒体传播建设，推进主流媒体系统性变革，推进新闻宣传和网络舆论一体化管理，培育积极健康、向上向善的网络文化。持续完善公共文化服务体系，复兴古代书院，推进“书香泉州”全民阅读，建设农村文化礼堂、社区文化家园等新型公共文化空间，推行文化特派员制度，引导优质文化资源直达基层。实施文艺精品工程，营造良好文艺生态，提高文化原创能力，推动泉州文艺再攀新高峰。完善全民健身公共服务体系，实施体育场地设施补短板行动，健全四级体育设施网络，统筹推进群众体育和竞技体育发展，建设体育强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40.打造世界遗产保护利用典范城市。健全文化遗产保护管理法规体系，串点联线打造文化遗产群落，拓展展示传播媒介。加强文物保护利用，统筹文物古迹、古老建筑、名城名镇、历史街区、传统村落、文化景观、非遗民俗和文献典籍档案等保护传承，织牢织密文物安全防护网，探索实施乡村源点工程，赓续城市文脉。推进德化窑、永春苦寨坑窑国家考古遗址公园和海上丝绸之路国家文化公园（福建段）等项目建设，推进泉州海外交通史博物馆扩建，力争提升为中国（泉州）海上丝绸之路博物馆，探索营建泉州古城精品博物馆群。推动海丝文化、闽南文化、非遗文化、华侨文化等优秀传统文化创造性转化、创新性发展。深化闽南文化生态保护区建设，推进历史建筑保护性收储和盘活，加强闽南红砖建筑保护。实施“城市记忆”工程，深化非遗和记忆项目传承发展，振兴传统工艺技艺。</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41.做大做强文化旅游支柱产业。完善文化管理体制和生产经营机制，健全文化产业体系和市场体系，提升文化产业园区能级，增强重大文化项目带动力，加快文化与创意、科技、数字经济、生产制造、体育赛事等业态融合互促。拓展“文旅+百业”“百业+文旅”，进一步提升文旅业态品质，提高县域旅游综合实力，构建“亮点在古城、厚度在山海、深度在烟火”全域文旅大格局，再现“东方第一大港”繁荣景象。健全文旅“长红”机制，培优做大文旅市场主体，打造泉州演艺剧场等综合体，拓展沉浸式、互动式、体验式文旅消费场景，做优“文化一台戏”，做强泉州“戏窝子”品牌。构建主客共享的文旅公共服务体系，培育创建国家5A级旅游景区、省级旅游度假区和若干重点文旅街区，完善游客集散接驳设施，提质升级“吃住行游娱购”服务，完善高端酒店布局，大力挖潜入境游、深度游、精品游，打造全国最具烟火气的旅游城市和世界海丝多元文化旅游目的地。</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42.加强国际传播能力建设。建立市县统一符号、协同发力的立体宣传网络，创新城市品牌营销，建强泉州海丝国际传播中心，强化跨文化视角下的分众化互动式传播，打造“宋元中国看泉州”外宣品牌，策划实施富有泉州辨识度的对外交流精品项目。优化传播平台布局，打造新型主流媒体集群和多语种社交平台矩阵，塑造兼具闽南韵、中国味和国际范的泉州时代形象。加强城际交流和文明互鉴，提升海上丝绸之路国际文化旅游节、闽南文化节、国际南音大会唱、国际木偶节等活动效应，办好纪念李贽诞辰500周年等文化活动，推进学术交流、影视纪录片、策展办展、新媒体等领域国际合作，争取加入世界遗产城市联盟。</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十二、持续保障和改善民生，共建共享共同富裕美好城市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持尽力而为、量力而行，加强普惠性、基础性、兜底性民生建设，优先抓好民生领域各项改革，用心用情解决人民群众急难愁盼问题，推动基本公共服务均等化，提升优质公共服务可及性，畅通社会流动渠道，不断提高人民生活品质。</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43.促进充分就业和持续增收。深入实施就业优先战略，加强人力资源开发利用，推动产业与就业协同联动，积极培育新职业新岗位，支持市场主体稳岗扩岗，构建就业友好型发展方式。完善重点群体就业支持和公共服务体系，推进零工市场（驿站）标准化建设，促进多渠道灵活就业，推动新就业形态健康发展。加大创业支持力度，打造实体化创业服务矩阵，推进以创业带动就业。健全终身职业技能培训制度，深化“技能泉州”“工匠泉州”行动，纾解结构性就业矛盾。加强劳动者权益保障，健全劳动关系协商协调机制。完善就业影响评估和监测预警，综合应对外部环境变化和新技术发展对就业的影响。实施城乡居民增收计划，提高劳动报酬在初次分配中的比重，健全各类生产要素由市场评价贡献、按贡献决定报酬的初次分配机制。完善劳动者工资决定、合理增长、支付保障机制，健全最低工资标准调整机制。落实再分配调节机制。规范收入分配秩序和财富积累机制，建立健全先富带后富促共富工作体系，健全回报社会激励机制，促进和规范公益慈善事业发展。</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44.办好人民满意的优质教育。深化教育综合改革，促进教育公平，加快建设教育强市。实施新时代立德树人工程，健全“五育并举”育人体系，加强学生心理健康工作，推进大中小学思想政治教育一体化。完善教育评价体系，加强学校家庭社会协同育人。推动教育资源配置与人口变化、新型城镇化进程相适应，有序推进小班化教学，办好必要的乡村小规模学校。创建国家基础教育综合改革实验区，推动义务教育优质均衡发展，优化幼儿园学位供给，逐步推行免费学前教育。推动高中教育优质特色发展，办好特殊教育、专门教育。探索拔尖创新人才贯通培养机制。推动高等教育提质扩容，探索建设产业学院，增强学科专业与优势产业适配度。建设一批办学特色鲜明的高水平职业学校，促进职普融通，推进中高本衔接培养。高质量建设高教职教园区。引导规范民办教育发展。实施教育数智赋能行动，加快发展老年教育，倡导终身学习，共筑学习型社会。弘扬教育家精神，优化教师管理和资源配置，持续培育名师、名校长、名班主任，培养高水平教师队伍。</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45.健全社会保障体系。落实基本养老保险全国统筹制度，加快发展多层次、多支柱养老保险体系，逐步提高城乡居民基础养老金。健全多层次医疗保障体系。扩大失业、工伤保险覆盖面，建立健全职业伤害保障制度。完善社保关系转移接续机制，健全灵活就业人员、农民工、新就业形态人员社会保障政策。健全分层分类的社会救助体系，巩固提升服务类社会救助，加大低收入人口救助帮扶力度。保障妇女儿童合法权益，加强困难、弱势群体关爱服务，扶持规范公益性社会组织。加强退役军人服务保障。构建房地产发展新模式，建立多元主体供给、多渠道保障、租购并举的住房制度，加快培育发展住房租赁市场，稳妥推进配售型和配租型保障性住房建设，优化保障性住房供给。</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46.加快建设健康泉州。实施健康优先发展战略，提升爱国卫生运动成效，提高人均预期寿命和人民健康水平。强化公共卫生能力，加强疾控体系建设，防控重大传染病。健全医疗、医保、医药协同发展和治理机制，清单式推广三明医改经验。深化以公益性为导向的公立医院编制、服务价格、薪酬制度、综合监管改革，加强县区、基层医疗机构运行保障。实施医疗卫生强基工程，优化医疗机构功能定位和布局，推进国家区域医疗中心建设，建强紧密型县域医共体，支持县级医院创建三级医院，促进分级诊疗。深化全民健康数智化建设，提升家庭医生服务质效。实施国家基本公共卫生服务项目，加强慢性病综合防控，发展防治康管全链条服务。优化院前医疗急救网络布局，全方位提升急诊急救、血液保障和应急能力。加强医疗卫生人才队伍能力和作风建设，引导规范民营医疗机构发展。推进中医药传承创新，建设市中药传承创新中心，促进中西医结合。加强心理健康和精神卫生服务。</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47.促进人口高质量发展。健全覆盖全人群、全生命周期的人口服务体系。倡导积极婚育观，优化生育支持政策和激励措施，落实育儿补贴、生育休假制度，完善生育保险制度，加强对女职工群体的特殊劳动保护，优化生育全程服务，实施早孕关爱行动、孕育和出生缺陷防治能力提升计划。大力发展普惠托育、托幼一体化服务，建设生育友好型社会、儿童友好型城市。积极应对人口老龄化，完善居家社区机构相协调、医养康养相结合的养老服务体系，探索“物业+养老”等新业态。推进公共设施适老化和无障碍改造，探索以自立支援为核心的上门照护服务，全面推行长期护理保险，扩大康复护理、安宁疗护服务供给，培养养老服务专业人才。加快发展养老产业、银发经济。</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十三、持续深化生态市建设，塑造山水相融强韧适宜的美丽泉州</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牢固树立和践行绿水青山就是金山银山理念，坚持生态优先、绿色发展，协同推进降碳、减污、扩绿、增长，争创国家生态文明建设示范市。</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48.强化生态文明制度创新。持续深化生态文明体制改革，支持有条件的地区争创国家生态文明建设示范区、“绿水青山就是金山银山”实践创新基地，探索生成富有泉州特色的制度成果。健全自然资源资产产权制度和管理制度体系，推进集体林权制度多方得益、多式联营、多重服务改革试点建设，推动森林“四库”联动走深走实。落实自然资源有偿使用原则，完善生态产品价值实现机制，强化重点生态功能区转移支付，发展森林碳汇、海洋碳汇、土壤碳汇等。完善生态司法机制，健全生态保护补偿和生态环境损害赔偿机制，落实国土空间生态修复规划，鼓励支持社会资本参与生态保护修复。落实生态环境分区管控，全面推行以排污许可制为核心的固定污染源监管制度。加强领导干部自然资源资产离任审计，坚决抓好生态环境保护督察反馈问题整改。</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49.构建从山顶到海洋的保护治理大格局。系统构建“一屏一带三廊双核多点”生态安全格局，统筹山上和山下、上游和下游、陆地和海洋、都市和乡野，以生态连绵带串联全域山城江海元素，提升蓝绿生态本底“含金量”，创设更多优质生态产品。强化生态保护修复统一监管，深化河湖长制、林长制的泉州实践，实施重要生态系统保护和修复工程，细心呵护生物多样性，推进历史遗留矿山生态治理，筑牢生态安全屏障。持续推进国土绿化行动。加强重点领域、重点流域、重点海域综合治理，深入打好蓝天、碧水、碧海、净土保卫战。加强区域联防联控，强化氮氧化物、挥发性有机物等多污染物协同控制，降低细颗粒物浓度。深化晋江、洛阳江主要流域保护治理，巩固提升城市和农村黑臭水体治理成效。深入实施近岸海域污染防治、生态保护修复和岸滩环境整治，全海域推进美丽海湾建设。深化土壤污染源头防控和固体废物综合治理，推进生活垃圾填埋场生态治理，发展“城市矿产”，打造全域无废城市。加强环境风险防控，深入推进新污染物治理。</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50.加快经济社会发展全面绿色转型。建强新型能源体系，推进化石能源清洁安全可靠有序替代，实施新型电力系统攻坚行动。布局海上风电、光伏、核电、氢能等清洁能源，积极发展抽水蓄能和新型储能，提高新能源供给比重，加强化石能源清洁高效利用。完善绿色电力交易体系。实施碳排放总量和强度双控制度，健全碳排放统计核算体系，稳步实施碳考核、行业碳管控、企业碳管理、项目碳评价、产品碳足迹等政策制度。落实碳达峰十大行动，分类推进零碳低碳试点，建设零碳工厂，争创国家级零碳园区。推动工业、城乡建设、交通运输、能源等重点领域绿色低碳转型。优先发展新型建造方式，推动超低能耗、低碳建筑规模化发展。完善资源总量管理和全面节约制度，争创国家废旧物资循环利用体系示范城市。创新碳金融工具，探索建立绿色低碳发展基金。</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十四、统筹发展和安全，建设更高水平平安泉州</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坚定不移贯彻总体国家安全观，全面提升平安泉州建设科学化、社会化、法治化、智能化水平，健全主动创稳机制，全力维护国家安全、社会安定、人民安宁。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51.加强国家安全保障能力建设。推进国家安全法治体系、战略体系、政策体系、风险防控体系建设。加强国家安全重点领域和重要专项协调机制建设，紧密关注民营经济、新就业群体、民族宗教等领域，提高应急应变效能。落实国家安全责任制，促进全链条全要素协同联动。牢牢掌握意识形态工作领导权，完善舆情风险评估和应急处置机制。完善海外利益保护机制，强化基础调查、信息共享，形成“风险地图”，加强投资风险预警、防控、保护。加强网络、数据、低空等新兴领域国家安全能力建设，加强新技术在国家安全领域应用。强化国家安全教育，筑牢人民防线。</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52.筑牢重点领域安全防线。锻造实战实用的国家安全能力，把捍卫政治安全摆在首位，突出保障事关国家长治久安、经济健康稳定、人民安居乐业的重大安全。保障粮食、能源资源、重要产业链供应链、重大基础设施安全。提升防范化解重点领域风险能力，有序化解房地产、地方政府债务、中小金融机构等风险，严防系统性风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53.强化公共安全保障。完善公共安全体系，推动公共安全治理模式向事前预防转型。强化基层应急管理体系和能力建设，加强自然灾害监测预报预警，提高防灾减灾救灾和重大突发公共事件处置保障能力。完善和落实安全生产责任制，巩固拓展“安全生产标准化提升”专项行动。深化“餐桌污染”治理，保障食品药品安全。实行重大决策社会稳定风险评估。深化社会治安整体防控体系和能力建设，推进扫黑除恶常态化，加大预防和打击电信网络诈骗、毒品犯罪、跨境赌博等的力度。深化网络空间安全综合治理，强化数据安全、个人信息安全保护和关键信息基础设施安全防护。强化未成年人违法犯罪预防和治理，加强特殊人群服务管理，有效防范极端案件。全面准确贯彻宽严相济刑事政策，依法惩处违法犯罪，提升刑罚执行质效。</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54.健全社会治理体系。健全党组织领导的自治、法治、德治相结合的城乡基层治理体系，完善共建共治共享的社会治理制度。坚持和发展新时代“枫桥经验”，深化“两中心一平台”建设，引导社会治理资源、服务、管理下沉。健全社会工作体制机制，推行“四微联动”基层治理模式。加强党建引领基层治理和基层政权建设，全面落实乡镇（街道）履职事项清单，健全村（社区）工作事项准入制度，深化简政放权赋能基层治理。健全社会心理服务体系和危机干预机制。加强市民热线等平台服务功能，深化矛盾纠纷排查化解，纵深推进信访工作法治化。深入开展“泉新向党”“泉新共治”行动，加强新经济组织、新社会组织、新就业群体党的建设。深化行业协会商会改革发展。发挥市民公约、村规民约等作用，加强家庭家教家风建设。健全新时代志愿服务体系，深化拓展“刺桐有爱”行动。完善凝聚服务群众工作机制，改进各类社会群体服务管理。加强社会工作者队伍建设，提高专业化服务水平。市县一体推进“城市大脑”建设，提升城市数智化治理水平。全面深化事业单位改革。</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55.积极服务国防和军队现代化建设。完善涉军议事协调体制机制，构建现代化国防动员体系，服务推进跨军地改革，推动军地协同发展。加强军民科技协同创新，推动新质生产力同新质战斗力高效融合、双向拉动。加快国防动员能力建设，加强现代边海空防建设。完善新时代双拥工作机制，深化全民国防教育，争创双拥模范城“十一连冠”。</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十五、充分调动一切积极因素，为实现“十五五”规划团结奋斗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坚持以党的自我革命引领社会革命，持之以恒推进全面从严治党，充分调动全社会积极性主动性创造性，形成奋勇争先推进中国式现代化泉州实践的强大合力。</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56.坚持和加强党的全面领导。持续用党的创新理论统一思想、统一意志、统一行动，完善推动习近平总书记重要讲话重要指示批示精神和党中央决策部署落实机制，坚持和完善党领导经济社会发展的体制机制，不折不扣推动党中央决策部署在泉州落地生根、开花结果。发展党内民主，严格落实民主集中制，不断提高科学决策、民主决策、依法决策水平。坚持正确用人导向，坚持把政治标准放在首位，牢固树立和践行正确政绩观，完善干部考核评价机制，选优配强各级领导班子，选准用好“三争担当者”，推进领导干部能上能下常态化。深入开展向谷文昌、廖俊波等同志学习活动，强化教育培训和实践锻炼，提高干部队伍现代化建设本领。坚持把从严管理监督和鼓励担当作为统一起来，落实“三个区分开来”，完善容错纠错机制，激发干部队伍内生动力和整体活力。深入实施新时代“堡垒工程”，统筹推进各领域基层党组织建设，深化社区、园区、厂区党建“三区联创”创新实践，完善近邻党建工作机制，持续建强“海丝先锋”党员突击队，发挥党员先锋模范作用。锲而不舍落实中央八项规定及其实施细则精神，全面落实“四下基层”制度，传承弘扬“马上就办、真抓实干”等优良作风，狠刹各种不正之风，推进作风建设常态化长效化。深入开展整治形式主义为基层减负工作。完善市域监督体系，加快打造智慧监督“泉州模式”，加强对权力配置、运行的规范和监督。保持反腐败永远在路上的清醒坚定，深化以案促改促治促教，一体推进不敢腐、不能腐、不想腐，打好反腐败斗争攻坚战、持久战、总体战，持续巩固发展良好的政治生态。</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57.深化拓展全过程人民民主实践。坚持党的领导、人民当家作主、依法治国有机统一。坚持好、完善好、运行好人民代表大会制度，支持和保证人大及其常委会依法履行立法、监督、决定、任免等职能，确保国家机关依法行使权力、履行职责，确保人民群众民主权利、合法权益得到维护和实现。坚持和完善中国共产党领导的多党合作和政治协商制度，发挥专门协商机构作用，加强各种协商渠道协同配合，完善协商成果采纳、落实和反馈机制，推进协商民主广泛多层制度化发展。健全基层民主制度，保障人民依法管理基层公共事务和公益事业。健全吸纳民意、汇集民智工作机制。健全基层群众自治制度。更好发挥工会、共青团、妇联等群团组织作用，推进产业工人队伍建设改革，建设青年发展型城市，加强妇女儿童事业发展政策保障。完善大统战工作格局，巩固和发展最广泛的爱国统一战线，发挥党外知识分子和新的社会阶层人士优势作用。加强宗教事务治理法治化。</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58.推进法治泉州建设。一体推进法治政府、法治社会建设，协同推进科学立法、严格执法、公正司法、全民守法。全面贯彻实施宪法，维护宪法权威。健全地方立法体制机制，提高立法质量。深入推进依法行政，全面落实行政规范性文件备案审查，完善实质性化解行政争议机制。积极争创全国法治政府建设示范市（县、区）。推进数字政法建设，打造集数字法院、数字检察、数字警务、智慧司法为一体的政法智能化矩阵。规范司法权力运行，完善司法公正实现和评价机制。强化检察监督，加强公益诉讼。推进法官、检察官履职评议工作，提高司法公信力。健全执行工作机制，有效解决“执行难”问题。深化海丝中央法务区泉州片区建设，完善涉外法治体系。加强领导干部依法办事监督检查。深入开展全民普法，健全覆盖城乡的公共法律服务体系。</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59.健全规划制定和落实机制。坚决贯彻党中央决策部署，落实省委工作要求，按照本次全会精神，制定“十五五”规划纲要和专项规划等，形成定位准确、边界清晰、功能互补、统一衔接的规划体系。强化规划实施监测评估和监督，健全重点工作定期调度机制，加强政策协调和工作协同，大抓落实、狠抓落实，确保市委决策部署落到实处。坚持尊重劳动、尊重知识、尊重人才、尊重创造，振奋“敢拼、爱拼、善拼”的精气神，延续“十四五”期间行之有效的经验做法，充分调动一切积极因素，激发全社会干事创业、创新创造活力，形成人尽其才、才尽其用、万众一心、勠力进取的生动局面。</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r>
        <w:rPr>
          <w:rFonts w:hint="eastAsia"/>
          <w:kern w:val="0"/>
          <w:lang w:val="en-US" w:eastAsia="zh-CN"/>
        </w:rPr>
        <w:t>全市各级党组织和广大党员、干部群众要更加紧密地团结在以习近平同志为核心的党中央周围，在省委的领导下，传承弘扬、创新发展“晋江经验”，牢记嘱托、砥砺前行，大拼经济、大抓发展，为加快建设二十一世纪“海丝名城”，奋勇争先推进中国式现代化泉州实践不懈奋斗！</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eastAsia="宋体"/>
          <w:kern w:val="0"/>
          <w:lang w:val="en-US" w:eastAsia="zh-CN"/>
        </w:rPr>
      </w:pPr>
      <w:r>
        <w:rPr>
          <w:rFonts w:hint="eastAsia"/>
          <w:kern w:val="0"/>
          <w:lang w:val="en-US" w:eastAsia="zh-CN"/>
        </w:rPr>
        <w:t>（来源：泉州晚报）</w:t>
      </w:r>
    </w:p>
    <w:p>
      <w:pPr>
        <w:keepNext w:val="0"/>
        <w:keepLines w:val="0"/>
        <w:pageBreakBefore w:val="0"/>
        <w:widowControl w:val="0"/>
        <w:kinsoku/>
        <w:wordWrap/>
        <w:overflowPunct/>
        <w:topLinePunct w:val="0"/>
        <w:autoSpaceDE/>
        <w:autoSpaceDN/>
        <w:bidi w:val="0"/>
        <w:adjustRightInd/>
        <w:snapToGrid/>
        <w:spacing w:line="320" w:lineRule="exact"/>
        <w:ind w:firstLine="440" w:firstLineChars="200"/>
        <w:jc w:val="left"/>
        <w:textAlignment w:val="auto"/>
        <w:outlineLvl w:val="9"/>
        <w:rPr>
          <w:rFonts w:hint="eastAsia"/>
          <w:kern w:val="0"/>
          <w:lang w:val="en-US" w:eastAsia="zh-CN"/>
        </w:rPr>
      </w:pPr>
    </w:p>
    <w:p>
      <w:pPr>
        <w:pStyle w:val="3"/>
        <w:spacing w:after="0"/>
        <w:rPr>
          <w:rFonts w:hint="eastAsia"/>
          <w:lang w:val="en-US" w:eastAsia="zh-CN"/>
        </w:rPr>
      </w:pPr>
    </w:p>
    <w:sectPr>
      <w:headerReference r:id="rId3" w:type="default"/>
      <w:footerReference r:id="rId4" w:type="default"/>
      <w:pgSz w:w="11907" w:h="16840"/>
      <w:pgMar w:top="1440" w:right="1644"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经典楷体简">
    <w:altName w:val="宋体"/>
    <w:panose1 w:val="00000000000000000000"/>
    <w:charset w:val="86"/>
    <w:family w:val="modern"/>
    <w:pitch w:val="default"/>
    <w:sig w:usb0="00000000" w:usb1="00000000" w:usb2="0000001E"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fldChar w:fldCharType="begin"/>
    </w:r>
    <w:r>
      <w:instrText xml:space="preserve"> PAGE   \* MERGEFORMAT </w:instrText>
    </w:r>
    <w:r>
      <w:fldChar w:fldCharType="separate"/>
    </w:r>
    <w:r>
      <w:rPr>
        <w:lang w:val="zh-CN"/>
      </w:rPr>
      <w:t>1</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OWYyNTNjNjk1MzdiYjA5MTg3ZmI5NmJmZDhmMWYifQ=="/>
  </w:docVars>
  <w:rsids>
    <w:rsidRoot w:val="004E3E5A"/>
    <w:rsid w:val="00000079"/>
    <w:rsid w:val="000004EA"/>
    <w:rsid w:val="00000A52"/>
    <w:rsid w:val="00000F0B"/>
    <w:rsid w:val="00001564"/>
    <w:rsid w:val="000022AB"/>
    <w:rsid w:val="000022B9"/>
    <w:rsid w:val="0000281B"/>
    <w:rsid w:val="00003C19"/>
    <w:rsid w:val="0000559F"/>
    <w:rsid w:val="00005E5C"/>
    <w:rsid w:val="00006F26"/>
    <w:rsid w:val="0001530C"/>
    <w:rsid w:val="0001565A"/>
    <w:rsid w:val="00015681"/>
    <w:rsid w:val="00016C40"/>
    <w:rsid w:val="000170CA"/>
    <w:rsid w:val="000176B7"/>
    <w:rsid w:val="000176CC"/>
    <w:rsid w:val="00020CFF"/>
    <w:rsid w:val="00020ED9"/>
    <w:rsid w:val="00021846"/>
    <w:rsid w:val="00021C92"/>
    <w:rsid w:val="000230A3"/>
    <w:rsid w:val="00023179"/>
    <w:rsid w:val="000233A6"/>
    <w:rsid w:val="00025637"/>
    <w:rsid w:val="00026A47"/>
    <w:rsid w:val="00026EC8"/>
    <w:rsid w:val="00035065"/>
    <w:rsid w:val="000350D4"/>
    <w:rsid w:val="0003572B"/>
    <w:rsid w:val="00035DEB"/>
    <w:rsid w:val="0004021A"/>
    <w:rsid w:val="00040C72"/>
    <w:rsid w:val="00041245"/>
    <w:rsid w:val="00041473"/>
    <w:rsid w:val="00041C3A"/>
    <w:rsid w:val="00043E2F"/>
    <w:rsid w:val="00044DA0"/>
    <w:rsid w:val="00044E82"/>
    <w:rsid w:val="0004508C"/>
    <w:rsid w:val="00045565"/>
    <w:rsid w:val="00046ADA"/>
    <w:rsid w:val="00047D1E"/>
    <w:rsid w:val="00051783"/>
    <w:rsid w:val="000517D6"/>
    <w:rsid w:val="00051802"/>
    <w:rsid w:val="000522C5"/>
    <w:rsid w:val="0005525D"/>
    <w:rsid w:val="00055B0F"/>
    <w:rsid w:val="00056177"/>
    <w:rsid w:val="0006128E"/>
    <w:rsid w:val="00061472"/>
    <w:rsid w:val="000616AB"/>
    <w:rsid w:val="00061D95"/>
    <w:rsid w:val="00062109"/>
    <w:rsid w:val="00062324"/>
    <w:rsid w:val="000648D8"/>
    <w:rsid w:val="00064BC2"/>
    <w:rsid w:val="0006627A"/>
    <w:rsid w:val="000703C4"/>
    <w:rsid w:val="000709D1"/>
    <w:rsid w:val="00070EAA"/>
    <w:rsid w:val="0007144F"/>
    <w:rsid w:val="000725D5"/>
    <w:rsid w:val="00072FAC"/>
    <w:rsid w:val="00074365"/>
    <w:rsid w:val="0007714C"/>
    <w:rsid w:val="00081325"/>
    <w:rsid w:val="00081F72"/>
    <w:rsid w:val="00082C59"/>
    <w:rsid w:val="00082EE1"/>
    <w:rsid w:val="000832D1"/>
    <w:rsid w:val="00083CE0"/>
    <w:rsid w:val="00083D76"/>
    <w:rsid w:val="00085FC8"/>
    <w:rsid w:val="000864A6"/>
    <w:rsid w:val="000878FE"/>
    <w:rsid w:val="00087A8D"/>
    <w:rsid w:val="00090B7B"/>
    <w:rsid w:val="00090C5B"/>
    <w:rsid w:val="00090C7A"/>
    <w:rsid w:val="0009171A"/>
    <w:rsid w:val="00092238"/>
    <w:rsid w:val="000927BB"/>
    <w:rsid w:val="0009454F"/>
    <w:rsid w:val="00095A66"/>
    <w:rsid w:val="00097104"/>
    <w:rsid w:val="00097BBA"/>
    <w:rsid w:val="000A3142"/>
    <w:rsid w:val="000A3651"/>
    <w:rsid w:val="000A3A0D"/>
    <w:rsid w:val="000A5297"/>
    <w:rsid w:val="000A5684"/>
    <w:rsid w:val="000A5999"/>
    <w:rsid w:val="000A772A"/>
    <w:rsid w:val="000B02BB"/>
    <w:rsid w:val="000B0D3E"/>
    <w:rsid w:val="000B1259"/>
    <w:rsid w:val="000B133B"/>
    <w:rsid w:val="000B18E8"/>
    <w:rsid w:val="000B1D82"/>
    <w:rsid w:val="000B25F8"/>
    <w:rsid w:val="000B277B"/>
    <w:rsid w:val="000B282B"/>
    <w:rsid w:val="000B2850"/>
    <w:rsid w:val="000B4092"/>
    <w:rsid w:val="000B4A87"/>
    <w:rsid w:val="000C2707"/>
    <w:rsid w:val="000C294B"/>
    <w:rsid w:val="000C2C03"/>
    <w:rsid w:val="000C322D"/>
    <w:rsid w:val="000C353E"/>
    <w:rsid w:val="000C60A4"/>
    <w:rsid w:val="000C6836"/>
    <w:rsid w:val="000C7055"/>
    <w:rsid w:val="000C76CC"/>
    <w:rsid w:val="000C777F"/>
    <w:rsid w:val="000C7A90"/>
    <w:rsid w:val="000D097D"/>
    <w:rsid w:val="000D0E98"/>
    <w:rsid w:val="000D15AC"/>
    <w:rsid w:val="000D1F88"/>
    <w:rsid w:val="000D28A8"/>
    <w:rsid w:val="000D40AE"/>
    <w:rsid w:val="000D477B"/>
    <w:rsid w:val="000D69F7"/>
    <w:rsid w:val="000E06FF"/>
    <w:rsid w:val="000E23A7"/>
    <w:rsid w:val="000E5161"/>
    <w:rsid w:val="000E5388"/>
    <w:rsid w:val="000F2233"/>
    <w:rsid w:val="000F3172"/>
    <w:rsid w:val="000F4012"/>
    <w:rsid w:val="000F4618"/>
    <w:rsid w:val="000F4CE6"/>
    <w:rsid w:val="000F52A1"/>
    <w:rsid w:val="000F56BF"/>
    <w:rsid w:val="000F5BC9"/>
    <w:rsid w:val="000F5BFF"/>
    <w:rsid w:val="000F643F"/>
    <w:rsid w:val="00102228"/>
    <w:rsid w:val="00106476"/>
    <w:rsid w:val="00106D9E"/>
    <w:rsid w:val="00107FCF"/>
    <w:rsid w:val="00112696"/>
    <w:rsid w:val="00115A43"/>
    <w:rsid w:val="00116553"/>
    <w:rsid w:val="00116786"/>
    <w:rsid w:val="001215DA"/>
    <w:rsid w:val="00125CCA"/>
    <w:rsid w:val="0012643F"/>
    <w:rsid w:val="00127761"/>
    <w:rsid w:val="00130F88"/>
    <w:rsid w:val="00130FEB"/>
    <w:rsid w:val="0013151E"/>
    <w:rsid w:val="0013207F"/>
    <w:rsid w:val="00133053"/>
    <w:rsid w:val="001340AE"/>
    <w:rsid w:val="001406E7"/>
    <w:rsid w:val="00141B66"/>
    <w:rsid w:val="00141D54"/>
    <w:rsid w:val="001420F8"/>
    <w:rsid w:val="0014654B"/>
    <w:rsid w:val="00146DFC"/>
    <w:rsid w:val="0015060E"/>
    <w:rsid w:val="001528C6"/>
    <w:rsid w:val="00152AC5"/>
    <w:rsid w:val="00155000"/>
    <w:rsid w:val="00156431"/>
    <w:rsid w:val="0015764C"/>
    <w:rsid w:val="00157DF9"/>
    <w:rsid w:val="00160C81"/>
    <w:rsid w:val="00161BF7"/>
    <w:rsid w:val="00161C4C"/>
    <w:rsid w:val="0016249E"/>
    <w:rsid w:val="00162830"/>
    <w:rsid w:val="00162B38"/>
    <w:rsid w:val="00162F48"/>
    <w:rsid w:val="00163137"/>
    <w:rsid w:val="00163845"/>
    <w:rsid w:val="00163A1D"/>
    <w:rsid w:val="00163F84"/>
    <w:rsid w:val="00166A37"/>
    <w:rsid w:val="0017047C"/>
    <w:rsid w:val="001715CF"/>
    <w:rsid w:val="00171BA1"/>
    <w:rsid w:val="00171CEA"/>
    <w:rsid w:val="001721D1"/>
    <w:rsid w:val="0017301A"/>
    <w:rsid w:val="00173B83"/>
    <w:rsid w:val="00175710"/>
    <w:rsid w:val="00175AA4"/>
    <w:rsid w:val="00177AB0"/>
    <w:rsid w:val="00177C32"/>
    <w:rsid w:val="00180206"/>
    <w:rsid w:val="00180D0B"/>
    <w:rsid w:val="00180F60"/>
    <w:rsid w:val="001818AE"/>
    <w:rsid w:val="001827EF"/>
    <w:rsid w:val="001844E8"/>
    <w:rsid w:val="001858EB"/>
    <w:rsid w:val="00185C0F"/>
    <w:rsid w:val="00185E16"/>
    <w:rsid w:val="001866E5"/>
    <w:rsid w:val="001869B3"/>
    <w:rsid w:val="00190D15"/>
    <w:rsid w:val="00192E96"/>
    <w:rsid w:val="00193A10"/>
    <w:rsid w:val="00195F59"/>
    <w:rsid w:val="00196D59"/>
    <w:rsid w:val="00197926"/>
    <w:rsid w:val="001979B1"/>
    <w:rsid w:val="00197D45"/>
    <w:rsid w:val="00197D78"/>
    <w:rsid w:val="001A33D4"/>
    <w:rsid w:val="001A37E0"/>
    <w:rsid w:val="001A44C6"/>
    <w:rsid w:val="001A4736"/>
    <w:rsid w:val="001A490B"/>
    <w:rsid w:val="001B0070"/>
    <w:rsid w:val="001B09B9"/>
    <w:rsid w:val="001B0C6A"/>
    <w:rsid w:val="001B45E5"/>
    <w:rsid w:val="001B484E"/>
    <w:rsid w:val="001B4AC7"/>
    <w:rsid w:val="001B533B"/>
    <w:rsid w:val="001B6583"/>
    <w:rsid w:val="001B6951"/>
    <w:rsid w:val="001B6FFF"/>
    <w:rsid w:val="001B7AF0"/>
    <w:rsid w:val="001C07A0"/>
    <w:rsid w:val="001C0E25"/>
    <w:rsid w:val="001C1CDA"/>
    <w:rsid w:val="001C3FAA"/>
    <w:rsid w:val="001C4089"/>
    <w:rsid w:val="001C4E2F"/>
    <w:rsid w:val="001C5ADB"/>
    <w:rsid w:val="001C65D3"/>
    <w:rsid w:val="001C6897"/>
    <w:rsid w:val="001C7D1A"/>
    <w:rsid w:val="001D192E"/>
    <w:rsid w:val="001D2790"/>
    <w:rsid w:val="001D2E4B"/>
    <w:rsid w:val="001D736B"/>
    <w:rsid w:val="001D7D2B"/>
    <w:rsid w:val="001E0B06"/>
    <w:rsid w:val="001E398F"/>
    <w:rsid w:val="001E57A5"/>
    <w:rsid w:val="001E67A2"/>
    <w:rsid w:val="001E776E"/>
    <w:rsid w:val="001E77A3"/>
    <w:rsid w:val="001E7AF0"/>
    <w:rsid w:val="001F0233"/>
    <w:rsid w:val="001F0D17"/>
    <w:rsid w:val="001F14B3"/>
    <w:rsid w:val="001F1D76"/>
    <w:rsid w:val="001F2043"/>
    <w:rsid w:val="001F29F3"/>
    <w:rsid w:val="001F54FF"/>
    <w:rsid w:val="001F5B07"/>
    <w:rsid w:val="001F67F5"/>
    <w:rsid w:val="001F7123"/>
    <w:rsid w:val="001F7369"/>
    <w:rsid w:val="00201776"/>
    <w:rsid w:val="00203484"/>
    <w:rsid w:val="002122B1"/>
    <w:rsid w:val="00212A41"/>
    <w:rsid w:val="002138A5"/>
    <w:rsid w:val="00217466"/>
    <w:rsid w:val="0022207C"/>
    <w:rsid w:val="00223E2D"/>
    <w:rsid w:val="002245A0"/>
    <w:rsid w:val="00226695"/>
    <w:rsid w:val="00227588"/>
    <w:rsid w:val="002323DC"/>
    <w:rsid w:val="00232BAD"/>
    <w:rsid w:val="00236CD4"/>
    <w:rsid w:val="00237207"/>
    <w:rsid w:val="00241CA6"/>
    <w:rsid w:val="00242FB5"/>
    <w:rsid w:val="00243838"/>
    <w:rsid w:val="002439AE"/>
    <w:rsid w:val="00243CD4"/>
    <w:rsid w:val="00245D13"/>
    <w:rsid w:val="002465F2"/>
    <w:rsid w:val="00246B39"/>
    <w:rsid w:val="00250465"/>
    <w:rsid w:val="002505AD"/>
    <w:rsid w:val="002521F5"/>
    <w:rsid w:val="00255BD3"/>
    <w:rsid w:val="002567BD"/>
    <w:rsid w:val="00256BD2"/>
    <w:rsid w:val="00257D0A"/>
    <w:rsid w:val="002621CD"/>
    <w:rsid w:val="002628C6"/>
    <w:rsid w:val="00262E69"/>
    <w:rsid w:val="00263AC2"/>
    <w:rsid w:val="00263AF1"/>
    <w:rsid w:val="002641A8"/>
    <w:rsid w:val="00264211"/>
    <w:rsid w:val="0026425A"/>
    <w:rsid w:val="0026536A"/>
    <w:rsid w:val="00266042"/>
    <w:rsid w:val="002667D7"/>
    <w:rsid w:val="00267A82"/>
    <w:rsid w:val="00267DCA"/>
    <w:rsid w:val="00272019"/>
    <w:rsid w:val="0027358E"/>
    <w:rsid w:val="00273693"/>
    <w:rsid w:val="002746DC"/>
    <w:rsid w:val="00277E28"/>
    <w:rsid w:val="00280289"/>
    <w:rsid w:val="00282B33"/>
    <w:rsid w:val="00283A7E"/>
    <w:rsid w:val="00286586"/>
    <w:rsid w:val="00286970"/>
    <w:rsid w:val="00292A46"/>
    <w:rsid w:val="00292C15"/>
    <w:rsid w:val="00293B32"/>
    <w:rsid w:val="00295152"/>
    <w:rsid w:val="00295E15"/>
    <w:rsid w:val="00296105"/>
    <w:rsid w:val="002977CF"/>
    <w:rsid w:val="002979D8"/>
    <w:rsid w:val="002A06D6"/>
    <w:rsid w:val="002A3C18"/>
    <w:rsid w:val="002A4120"/>
    <w:rsid w:val="002A429B"/>
    <w:rsid w:val="002A4B32"/>
    <w:rsid w:val="002A5730"/>
    <w:rsid w:val="002A586F"/>
    <w:rsid w:val="002A58C4"/>
    <w:rsid w:val="002A6DF0"/>
    <w:rsid w:val="002A70F7"/>
    <w:rsid w:val="002A73C1"/>
    <w:rsid w:val="002B002A"/>
    <w:rsid w:val="002B01D4"/>
    <w:rsid w:val="002B141E"/>
    <w:rsid w:val="002B1F86"/>
    <w:rsid w:val="002B32DD"/>
    <w:rsid w:val="002B3CEA"/>
    <w:rsid w:val="002B3DA7"/>
    <w:rsid w:val="002B6184"/>
    <w:rsid w:val="002B6A0A"/>
    <w:rsid w:val="002B6C6B"/>
    <w:rsid w:val="002B7197"/>
    <w:rsid w:val="002C00DA"/>
    <w:rsid w:val="002C0E6F"/>
    <w:rsid w:val="002C1B94"/>
    <w:rsid w:val="002C294B"/>
    <w:rsid w:val="002C2D31"/>
    <w:rsid w:val="002C3881"/>
    <w:rsid w:val="002C489F"/>
    <w:rsid w:val="002C66F7"/>
    <w:rsid w:val="002C7EA3"/>
    <w:rsid w:val="002D0B57"/>
    <w:rsid w:val="002D0D3A"/>
    <w:rsid w:val="002D0FA5"/>
    <w:rsid w:val="002D17B1"/>
    <w:rsid w:val="002D236F"/>
    <w:rsid w:val="002D24E1"/>
    <w:rsid w:val="002D4216"/>
    <w:rsid w:val="002D4735"/>
    <w:rsid w:val="002D5708"/>
    <w:rsid w:val="002D5B9B"/>
    <w:rsid w:val="002D6581"/>
    <w:rsid w:val="002D77AA"/>
    <w:rsid w:val="002E2131"/>
    <w:rsid w:val="002E4354"/>
    <w:rsid w:val="002E4C51"/>
    <w:rsid w:val="002E5201"/>
    <w:rsid w:val="002E59BC"/>
    <w:rsid w:val="002E60D6"/>
    <w:rsid w:val="002E64A2"/>
    <w:rsid w:val="002E7715"/>
    <w:rsid w:val="002E79F7"/>
    <w:rsid w:val="002F13A6"/>
    <w:rsid w:val="002F190E"/>
    <w:rsid w:val="002F1AE4"/>
    <w:rsid w:val="002F2AAB"/>
    <w:rsid w:val="002F2DFF"/>
    <w:rsid w:val="002F3698"/>
    <w:rsid w:val="002F58D9"/>
    <w:rsid w:val="002F6096"/>
    <w:rsid w:val="002F6506"/>
    <w:rsid w:val="002F68C3"/>
    <w:rsid w:val="002F6C35"/>
    <w:rsid w:val="002F7452"/>
    <w:rsid w:val="002F74AF"/>
    <w:rsid w:val="00300D11"/>
    <w:rsid w:val="00301DAB"/>
    <w:rsid w:val="00302E8C"/>
    <w:rsid w:val="00303E45"/>
    <w:rsid w:val="00304904"/>
    <w:rsid w:val="00304CE9"/>
    <w:rsid w:val="0030507A"/>
    <w:rsid w:val="003050C4"/>
    <w:rsid w:val="0030526D"/>
    <w:rsid w:val="00305369"/>
    <w:rsid w:val="0030675E"/>
    <w:rsid w:val="00306B06"/>
    <w:rsid w:val="003070C2"/>
    <w:rsid w:val="003077AE"/>
    <w:rsid w:val="00310951"/>
    <w:rsid w:val="00311F99"/>
    <w:rsid w:val="003120EA"/>
    <w:rsid w:val="003132DE"/>
    <w:rsid w:val="003135D2"/>
    <w:rsid w:val="00315072"/>
    <w:rsid w:val="0031602E"/>
    <w:rsid w:val="003163D7"/>
    <w:rsid w:val="00317222"/>
    <w:rsid w:val="003206EE"/>
    <w:rsid w:val="00320CBE"/>
    <w:rsid w:val="003212E4"/>
    <w:rsid w:val="00322225"/>
    <w:rsid w:val="00322C2F"/>
    <w:rsid w:val="00323704"/>
    <w:rsid w:val="00323C56"/>
    <w:rsid w:val="00323FA9"/>
    <w:rsid w:val="0032542A"/>
    <w:rsid w:val="00326FE5"/>
    <w:rsid w:val="0033105A"/>
    <w:rsid w:val="00333A96"/>
    <w:rsid w:val="00334AC4"/>
    <w:rsid w:val="00334C39"/>
    <w:rsid w:val="00340D1D"/>
    <w:rsid w:val="00344D2C"/>
    <w:rsid w:val="00346C42"/>
    <w:rsid w:val="00346E6E"/>
    <w:rsid w:val="00346E7F"/>
    <w:rsid w:val="00347058"/>
    <w:rsid w:val="00347942"/>
    <w:rsid w:val="0035206F"/>
    <w:rsid w:val="003520D0"/>
    <w:rsid w:val="0035274B"/>
    <w:rsid w:val="00354DA1"/>
    <w:rsid w:val="003557F0"/>
    <w:rsid w:val="003567B8"/>
    <w:rsid w:val="0036097D"/>
    <w:rsid w:val="00361F5C"/>
    <w:rsid w:val="00362273"/>
    <w:rsid w:val="00364858"/>
    <w:rsid w:val="00364A8D"/>
    <w:rsid w:val="00364E29"/>
    <w:rsid w:val="00366147"/>
    <w:rsid w:val="003679A4"/>
    <w:rsid w:val="00367D28"/>
    <w:rsid w:val="00370072"/>
    <w:rsid w:val="003700E4"/>
    <w:rsid w:val="003717A4"/>
    <w:rsid w:val="00371B48"/>
    <w:rsid w:val="0037294D"/>
    <w:rsid w:val="00373A11"/>
    <w:rsid w:val="003754E8"/>
    <w:rsid w:val="0037674E"/>
    <w:rsid w:val="003774B2"/>
    <w:rsid w:val="0037785F"/>
    <w:rsid w:val="003805F5"/>
    <w:rsid w:val="00380BD8"/>
    <w:rsid w:val="00382389"/>
    <w:rsid w:val="003836A6"/>
    <w:rsid w:val="00383974"/>
    <w:rsid w:val="0038424F"/>
    <w:rsid w:val="00384A06"/>
    <w:rsid w:val="00384C0E"/>
    <w:rsid w:val="00384D3A"/>
    <w:rsid w:val="00387FA0"/>
    <w:rsid w:val="00390758"/>
    <w:rsid w:val="00390800"/>
    <w:rsid w:val="00393208"/>
    <w:rsid w:val="003933C8"/>
    <w:rsid w:val="003947DD"/>
    <w:rsid w:val="00395839"/>
    <w:rsid w:val="00395F72"/>
    <w:rsid w:val="003A0027"/>
    <w:rsid w:val="003A05E3"/>
    <w:rsid w:val="003A21D0"/>
    <w:rsid w:val="003A281A"/>
    <w:rsid w:val="003A3BFC"/>
    <w:rsid w:val="003A7D7A"/>
    <w:rsid w:val="003A7F3C"/>
    <w:rsid w:val="003B25AA"/>
    <w:rsid w:val="003B30F3"/>
    <w:rsid w:val="003B5D0C"/>
    <w:rsid w:val="003B5EB3"/>
    <w:rsid w:val="003B7FE8"/>
    <w:rsid w:val="003C0032"/>
    <w:rsid w:val="003C09CE"/>
    <w:rsid w:val="003C0E67"/>
    <w:rsid w:val="003C1E7C"/>
    <w:rsid w:val="003C2A9E"/>
    <w:rsid w:val="003C72B0"/>
    <w:rsid w:val="003D05CE"/>
    <w:rsid w:val="003D1088"/>
    <w:rsid w:val="003D1638"/>
    <w:rsid w:val="003D2D5D"/>
    <w:rsid w:val="003D3222"/>
    <w:rsid w:val="003D3D30"/>
    <w:rsid w:val="003D4447"/>
    <w:rsid w:val="003D5DCA"/>
    <w:rsid w:val="003D6AAA"/>
    <w:rsid w:val="003D7F8A"/>
    <w:rsid w:val="003E134E"/>
    <w:rsid w:val="003E4C7F"/>
    <w:rsid w:val="003E4DFF"/>
    <w:rsid w:val="003E5149"/>
    <w:rsid w:val="003E5403"/>
    <w:rsid w:val="003E70EE"/>
    <w:rsid w:val="003E7550"/>
    <w:rsid w:val="003E7EEB"/>
    <w:rsid w:val="003F3E5B"/>
    <w:rsid w:val="003F516A"/>
    <w:rsid w:val="003F6331"/>
    <w:rsid w:val="003F675A"/>
    <w:rsid w:val="004003BC"/>
    <w:rsid w:val="00400450"/>
    <w:rsid w:val="00400872"/>
    <w:rsid w:val="00401542"/>
    <w:rsid w:val="00401D0C"/>
    <w:rsid w:val="00402E7F"/>
    <w:rsid w:val="004037B7"/>
    <w:rsid w:val="00404533"/>
    <w:rsid w:val="004060C0"/>
    <w:rsid w:val="004061BD"/>
    <w:rsid w:val="00406404"/>
    <w:rsid w:val="00406F8D"/>
    <w:rsid w:val="0041012E"/>
    <w:rsid w:val="00410D2A"/>
    <w:rsid w:val="00410F0E"/>
    <w:rsid w:val="0041131D"/>
    <w:rsid w:val="00411F4E"/>
    <w:rsid w:val="00412A64"/>
    <w:rsid w:val="00412AF8"/>
    <w:rsid w:val="0041304F"/>
    <w:rsid w:val="00413616"/>
    <w:rsid w:val="00413838"/>
    <w:rsid w:val="00414E51"/>
    <w:rsid w:val="00414F99"/>
    <w:rsid w:val="0041526C"/>
    <w:rsid w:val="004159FB"/>
    <w:rsid w:val="00415E51"/>
    <w:rsid w:val="00416696"/>
    <w:rsid w:val="00417777"/>
    <w:rsid w:val="004201AD"/>
    <w:rsid w:val="0042035E"/>
    <w:rsid w:val="00420B3E"/>
    <w:rsid w:val="00422DFE"/>
    <w:rsid w:val="00422E9B"/>
    <w:rsid w:val="00423EC5"/>
    <w:rsid w:val="00424BED"/>
    <w:rsid w:val="00425B54"/>
    <w:rsid w:val="00426A7D"/>
    <w:rsid w:val="00426D81"/>
    <w:rsid w:val="004307CD"/>
    <w:rsid w:val="00431166"/>
    <w:rsid w:val="004316CD"/>
    <w:rsid w:val="00431C7F"/>
    <w:rsid w:val="004321BE"/>
    <w:rsid w:val="00435166"/>
    <w:rsid w:val="00436672"/>
    <w:rsid w:val="0043674B"/>
    <w:rsid w:val="0043679E"/>
    <w:rsid w:val="00437275"/>
    <w:rsid w:val="00437503"/>
    <w:rsid w:val="00437A8F"/>
    <w:rsid w:val="00437B75"/>
    <w:rsid w:val="00437E4D"/>
    <w:rsid w:val="004411D7"/>
    <w:rsid w:val="00442475"/>
    <w:rsid w:val="00443005"/>
    <w:rsid w:val="004447D6"/>
    <w:rsid w:val="004449ED"/>
    <w:rsid w:val="00444AEA"/>
    <w:rsid w:val="004462AF"/>
    <w:rsid w:val="00447076"/>
    <w:rsid w:val="00450046"/>
    <w:rsid w:val="0045019C"/>
    <w:rsid w:val="00450FF6"/>
    <w:rsid w:val="00453699"/>
    <w:rsid w:val="00453900"/>
    <w:rsid w:val="004539E6"/>
    <w:rsid w:val="0045464F"/>
    <w:rsid w:val="00454F26"/>
    <w:rsid w:val="004553CB"/>
    <w:rsid w:val="00456F05"/>
    <w:rsid w:val="0045709B"/>
    <w:rsid w:val="0045754C"/>
    <w:rsid w:val="00462544"/>
    <w:rsid w:val="004627DE"/>
    <w:rsid w:val="00462AA8"/>
    <w:rsid w:val="0046332D"/>
    <w:rsid w:val="00463B2A"/>
    <w:rsid w:val="00463BC7"/>
    <w:rsid w:val="00463D07"/>
    <w:rsid w:val="00463F71"/>
    <w:rsid w:val="00464ABF"/>
    <w:rsid w:val="0046762C"/>
    <w:rsid w:val="004676C3"/>
    <w:rsid w:val="00470675"/>
    <w:rsid w:val="004706BB"/>
    <w:rsid w:val="004706C2"/>
    <w:rsid w:val="00470CA0"/>
    <w:rsid w:val="0047182C"/>
    <w:rsid w:val="00473428"/>
    <w:rsid w:val="00473B3E"/>
    <w:rsid w:val="00473C78"/>
    <w:rsid w:val="00475B5E"/>
    <w:rsid w:val="00475DC3"/>
    <w:rsid w:val="004767A9"/>
    <w:rsid w:val="00477126"/>
    <w:rsid w:val="00480A2D"/>
    <w:rsid w:val="004844BA"/>
    <w:rsid w:val="0048450B"/>
    <w:rsid w:val="0048755C"/>
    <w:rsid w:val="004905BD"/>
    <w:rsid w:val="004906C3"/>
    <w:rsid w:val="00490781"/>
    <w:rsid w:val="00490994"/>
    <w:rsid w:val="00491294"/>
    <w:rsid w:val="00493DD7"/>
    <w:rsid w:val="004941A5"/>
    <w:rsid w:val="00494FBE"/>
    <w:rsid w:val="00496806"/>
    <w:rsid w:val="00496CC0"/>
    <w:rsid w:val="00497EF3"/>
    <w:rsid w:val="004A054C"/>
    <w:rsid w:val="004A1087"/>
    <w:rsid w:val="004A2801"/>
    <w:rsid w:val="004A2F6F"/>
    <w:rsid w:val="004A525D"/>
    <w:rsid w:val="004A546F"/>
    <w:rsid w:val="004A6D14"/>
    <w:rsid w:val="004A74A1"/>
    <w:rsid w:val="004A7688"/>
    <w:rsid w:val="004A79F5"/>
    <w:rsid w:val="004B07AB"/>
    <w:rsid w:val="004B0C6D"/>
    <w:rsid w:val="004B0D82"/>
    <w:rsid w:val="004B33DD"/>
    <w:rsid w:val="004B3AD1"/>
    <w:rsid w:val="004C0902"/>
    <w:rsid w:val="004C0D4B"/>
    <w:rsid w:val="004C0F9F"/>
    <w:rsid w:val="004C1081"/>
    <w:rsid w:val="004C1E69"/>
    <w:rsid w:val="004C56BA"/>
    <w:rsid w:val="004C74E2"/>
    <w:rsid w:val="004C76DB"/>
    <w:rsid w:val="004C7C5B"/>
    <w:rsid w:val="004D0122"/>
    <w:rsid w:val="004D03A3"/>
    <w:rsid w:val="004D0995"/>
    <w:rsid w:val="004D0E63"/>
    <w:rsid w:val="004D22A1"/>
    <w:rsid w:val="004D3C19"/>
    <w:rsid w:val="004D5F67"/>
    <w:rsid w:val="004D65DF"/>
    <w:rsid w:val="004D71DB"/>
    <w:rsid w:val="004D7C87"/>
    <w:rsid w:val="004E141A"/>
    <w:rsid w:val="004E1818"/>
    <w:rsid w:val="004E3A5F"/>
    <w:rsid w:val="004E3A87"/>
    <w:rsid w:val="004E3E5A"/>
    <w:rsid w:val="004E447A"/>
    <w:rsid w:val="004E5317"/>
    <w:rsid w:val="004E5EB5"/>
    <w:rsid w:val="004E7BC9"/>
    <w:rsid w:val="004F076A"/>
    <w:rsid w:val="004F1E61"/>
    <w:rsid w:val="004F48AD"/>
    <w:rsid w:val="004F6CE1"/>
    <w:rsid w:val="004F743B"/>
    <w:rsid w:val="00500196"/>
    <w:rsid w:val="005002EB"/>
    <w:rsid w:val="005009CA"/>
    <w:rsid w:val="00503791"/>
    <w:rsid w:val="005042E5"/>
    <w:rsid w:val="00504940"/>
    <w:rsid w:val="005049F0"/>
    <w:rsid w:val="00505583"/>
    <w:rsid w:val="00505662"/>
    <w:rsid w:val="005072AD"/>
    <w:rsid w:val="0050799A"/>
    <w:rsid w:val="00507BEA"/>
    <w:rsid w:val="00510F9C"/>
    <w:rsid w:val="00512750"/>
    <w:rsid w:val="00512F51"/>
    <w:rsid w:val="00512F7C"/>
    <w:rsid w:val="005135AE"/>
    <w:rsid w:val="00514217"/>
    <w:rsid w:val="005142A8"/>
    <w:rsid w:val="00515415"/>
    <w:rsid w:val="00516E81"/>
    <w:rsid w:val="005173B6"/>
    <w:rsid w:val="00517CDB"/>
    <w:rsid w:val="005200A1"/>
    <w:rsid w:val="00521A25"/>
    <w:rsid w:val="00521E25"/>
    <w:rsid w:val="00522314"/>
    <w:rsid w:val="005267CB"/>
    <w:rsid w:val="00526ECD"/>
    <w:rsid w:val="00527498"/>
    <w:rsid w:val="00527BC6"/>
    <w:rsid w:val="00530E8E"/>
    <w:rsid w:val="005320D7"/>
    <w:rsid w:val="005329A5"/>
    <w:rsid w:val="00533945"/>
    <w:rsid w:val="00533CE0"/>
    <w:rsid w:val="0053483B"/>
    <w:rsid w:val="005358EE"/>
    <w:rsid w:val="00535CDC"/>
    <w:rsid w:val="0053661D"/>
    <w:rsid w:val="00536C02"/>
    <w:rsid w:val="005410B3"/>
    <w:rsid w:val="00541619"/>
    <w:rsid w:val="00542575"/>
    <w:rsid w:val="00542BE4"/>
    <w:rsid w:val="005440A1"/>
    <w:rsid w:val="00544314"/>
    <w:rsid w:val="00544678"/>
    <w:rsid w:val="00546FD4"/>
    <w:rsid w:val="00547725"/>
    <w:rsid w:val="00550480"/>
    <w:rsid w:val="00551578"/>
    <w:rsid w:val="0055252F"/>
    <w:rsid w:val="0055266E"/>
    <w:rsid w:val="00552C0E"/>
    <w:rsid w:val="005532BC"/>
    <w:rsid w:val="00554154"/>
    <w:rsid w:val="0055511E"/>
    <w:rsid w:val="00556DA1"/>
    <w:rsid w:val="005573D8"/>
    <w:rsid w:val="00560385"/>
    <w:rsid w:val="00561394"/>
    <w:rsid w:val="0056163D"/>
    <w:rsid w:val="005617D2"/>
    <w:rsid w:val="005625A9"/>
    <w:rsid w:val="00562E62"/>
    <w:rsid w:val="00563529"/>
    <w:rsid w:val="00565992"/>
    <w:rsid w:val="00566D1F"/>
    <w:rsid w:val="00566D66"/>
    <w:rsid w:val="00566F61"/>
    <w:rsid w:val="00567510"/>
    <w:rsid w:val="00567E9C"/>
    <w:rsid w:val="00567EB5"/>
    <w:rsid w:val="00571CA9"/>
    <w:rsid w:val="00572450"/>
    <w:rsid w:val="0057441C"/>
    <w:rsid w:val="00574D47"/>
    <w:rsid w:val="005751DB"/>
    <w:rsid w:val="005759B3"/>
    <w:rsid w:val="005767C1"/>
    <w:rsid w:val="00576B81"/>
    <w:rsid w:val="0058023C"/>
    <w:rsid w:val="00580DA1"/>
    <w:rsid w:val="00580F9B"/>
    <w:rsid w:val="005813FC"/>
    <w:rsid w:val="005823A3"/>
    <w:rsid w:val="00582819"/>
    <w:rsid w:val="00583C00"/>
    <w:rsid w:val="00585B00"/>
    <w:rsid w:val="005868C0"/>
    <w:rsid w:val="005873DF"/>
    <w:rsid w:val="00587A7B"/>
    <w:rsid w:val="00590896"/>
    <w:rsid w:val="00590F65"/>
    <w:rsid w:val="005910CB"/>
    <w:rsid w:val="0059160A"/>
    <w:rsid w:val="0059176D"/>
    <w:rsid w:val="00591F03"/>
    <w:rsid w:val="00592122"/>
    <w:rsid w:val="00592A05"/>
    <w:rsid w:val="00593921"/>
    <w:rsid w:val="005946AD"/>
    <w:rsid w:val="00594BC8"/>
    <w:rsid w:val="005960F3"/>
    <w:rsid w:val="005964B1"/>
    <w:rsid w:val="00597242"/>
    <w:rsid w:val="005972DE"/>
    <w:rsid w:val="005A1E98"/>
    <w:rsid w:val="005A315E"/>
    <w:rsid w:val="005A3958"/>
    <w:rsid w:val="005A3C4C"/>
    <w:rsid w:val="005A3D46"/>
    <w:rsid w:val="005A62C1"/>
    <w:rsid w:val="005A77B9"/>
    <w:rsid w:val="005A7BC0"/>
    <w:rsid w:val="005B0B7E"/>
    <w:rsid w:val="005B1C49"/>
    <w:rsid w:val="005B50BC"/>
    <w:rsid w:val="005B5293"/>
    <w:rsid w:val="005B707F"/>
    <w:rsid w:val="005B7411"/>
    <w:rsid w:val="005C0863"/>
    <w:rsid w:val="005C1BB0"/>
    <w:rsid w:val="005C3F03"/>
    <w:rsid w:val="005C4569"/>
    <w:rsid w:val="005C62CD"/>
    <w:rsid w:val="005C68E0"/>
    <w:rsid w:val="005C7F23"/>
    <w:rsid w:val="005D1794"/>
    <w:rsid w:val="005D2278"/>
    <w:rsid w:val="005D3736"/>
    <w:rsid w:val="005D3AC2"/>
    <w:rsid w:val="005D3E7F"/>
    <w:rsid w:val="005D4065"/>
    <w:rsid w:val="005D505A"/>
    <w:rsid w:val="005D50C4"/>
    <w:rsid w:val="005D5E25"/>
    <w:rsid w:val="005E0500"/>
    <w:rsid w:val="005E0B6C"/>
    <w:rsid w:val="005E1441"/>
    <w:rsid w:val="005E1D36"/>
    <w:rsid w:val="005E20F6"/>
    <w:rsid w:val="005E270A"/>
    <w:rsid w:val="005E375B"/>
    <w:rsid w:val="005E38E4"/>
    <w:rsid w:val="005E3AE1"/>
    <w:rsid w:val="005E421F"/>
    <w:rsid w:val="005E46AF"/>
    <w:rsid w:val="005E4D6C"/>
    <w:rsid w:val="005E6186"/>
    <w:rsid w:val="005E7211"/>
    <w:rsid w:val="005E7C6C"/>
    <w:rsid w:val="005F30A9"/>
    <w:rsid w:val="005F42C4"/>
    <w:rsid w:val="005F6C0E"/>
    <w:rsid w:val="005F6DAC"/>
    <w:rsid w:val="005F6F32"/>
    <w:rsid w:val="005F75DA"/>
    <w:rsid w:val="005F791F"/>
    <w:rsid w:val="00600D85"/>
    <w:rsid w:val="0060107F"/>
    <w:rsid w:val="00603012"/>
    <w:rsid w:val="00604615"/>
    <w:rsid w:val="00604E35"/>
    <w:rsid w:val="0060609A"/>
    <w:rsid w:val="006074EF"/>
    <w:rsid w:val="006078A1"/>
    <w:rsid w:val="006111F4"/>
    <w:rsid w:val="006115F1"/>
    <w:rsid w:val="00611C94"/>
    <w:rsid w:val="00612704"/>
    <w:rsid w:val="00615621"/>
    <w:rsid w:val="006159FA"/>
    <w:rsid w:val="00615DF2"/>
    <w:rsid w:val="006178DB"/>
    <w:rsid w:val="006207E2"/>
    <w:rsid w:val="00622C6A"/>
    <w:rsid w:val="00625045"/>
    <w:rsid w:val="006267B7"/>
    <w:rsid w:val="00627E2D"/>
    <w:rsid w:val="006318D0"/>
    <w:rsid w:val="0063201C"/>
    <w:rsid w:val="00632E99"/>
    <w:rsid w:val="0063444D"/>
    <w:rsid w:val="0063663B"/>
    <w:rsid w:val="00641B9D"/>
    <w:rsid w:val="00643B03"/>
    <w:rsid w:val="006454FE"/>
    <w:rsid w:val="00647AFE"/>
    <w:rsid w:val="0065053A"/>
    <w:rsid w:val="00650817"/>
    <w:rsid w:val="00650CA1"/>
    <w:rsid w:val="006528A7"/>
    <w:rsid w:val="00652BDC"/>
    <w:rsid w:val="006532D9"/>
    <w:rsid w:val="00654344"/>
    <w:rsid w:val="006556A8"/>
    <w:rsid w:val="00655BE2"/>
    <w:rsid w:val="00656C72"/>
    <w:rsid w:val="006574FB"/>
    <w:rsid w:val="00663BC6"/>
    <w:rsid w:val="00663FA4"/>
    <w:rsid w:val="00664BD3"/>
    <w:rsid w:val="0066537F"/>
    <w:rsid w:val="00670117"/>
    <w:rsid w:val="00671707"/>
    <w:rsid w:val="006726EA"/>
    <w:rsid w:val="00672801"/>
    <w:rsid w:val="0067335E"/>
    <w:rsid w:val="00673A26"/>
    <w:rsid w:val="00673B8A"/>
    <w:rsid w:val="006755EE"/>
    <w:rsid w:val="006761E7"/>
    <w:rsid w:val="0068022A"/>
    <w:rsid w:val="006805C0"/>
    <w:rsid w:val="00681D3D"/>
    <w:rsid w:val="00682079"/>
    <w:rsid w:val="00684D2D"/>
    <w:rsid w:val="00684E32"/>
    <w:rsid w:val="00685AAD"/>
    <w:rsid w:val="00686CAF"/>
    <w:rsid w:val="006909D1"/>
    <w:rsid w:val="00690E02"/>
    <w:rsid w:val="00691542"/>
    <w:rsid w:val="006921B9"/>
    <w:rsid w:val="00692BFB"/>
    <w:rsid w:val="00694018"/>
    <w:rsid w:val="00694422"/>
    <w:rsid w:val="0069475C"/>
    <w:rsid w:val="006970A9"/>
    <w:rsid w:val="006A024A"/>
    <w:rsid w:val="006A0F21"/>
    <w:rsid w:val="006A2BA6"/>
    <w:rsid w:val="006A38AD"/>
    <w:rsid w:val="006A44AB"/>
    <w:rsid w:val="006A5490"/>
    <w:rsid w:val="006A6ED4"/>
    <w:rsid w:val="006A6F09"/>
    <w:rsid w:val="006A6F66"/>
    <w:rsid w:val="006A7550"/>
    <w:rsid w:val="006B1A5F"/>
    <w:rsid w:val="006B2CD1"/>
    <w:rsid w:val="006B3683"/>
    <w:rsid w:val="006B6722"/>
    <w:rsid w:val="006B7C07"/>
    <w:rsid w:val="006B7CEE"/>
    <w:rsid w:val="006B7E37"/>
    <w:rsid w:val="006C0097"/>
    <w:rsid w:val="006C07B7"/>
    <w:rsid w:val="006C1B28"/>
    <w:rsid w:val="006C21FD"/>
    <w:rsid w:val="006C2384"/>
    <w:rsid w:val="006C36A9"/>
    <w:rsid w:val="006C5B49"/>
    <w:rsid w:val="006C627F"/>
    <w:rsid w:val="006C7267"/>
    <w:rsid w:val="006D03AB"/>
    <w:rsid w:val="006D2311"/>
    <w:rsid w:val="006D2D93"/>
    <w:rsid w:val="006D6EA6"/>
    <w:rsid w:val="006D7863"/>
    <w:rsid w:val="006E050B"/>
    <w:rsid w:val="006E13A2"/>
    <w:rsid w:val="006E3A1E"/>
    <w:rsid w:val="006E3C9F"/>
    <w:rsid w:val="006E48BB"/>
    <w:rsid w:val="006E4A1B"/>
    <w:rsid w:val="006E6846"/>
    <w:rsid w:val="006E7138"/>
    <w:rsid w:val="006E7A59"/>
    <w:rsid w:val="006E7E62"/>
    <w:rsid w:val="006F2314"/>
    <w:rsid w:val="006F2469"/>
    <w:rsid w:val="006F2BFB"/>
    <w:rsid w:val="006F3299"/>
    <w:rsid w:val="006F37B2"/>
    <w:rsid w:val="006F5D6D"/>
    <w:rsid w:val="006F6D32"/>
    <w:rsid w:val="006F73BC"/>
    <w:rsid w:val="006F7DB1"/>
    <w:rsid w:val="006F7FAD"/>
    <w:rsid w:val="007013F9"/>
    <w:rsid w:val="00702300"/>
    <w:rsid w:val="007027E5"/>
    <w:rsid w:val="00703603"/>
    <w:rsid w:val="007044C7"/>
    <w:rsid w:val="0070571F"/>
    <w:rsid w:val="00706453"/>
    <w:rsid w:val="00706908"/>
    <w:rsid w:val="00707363"/>
    <w:rsid w:val="007073A4"/>
    <w:rsid w:val="00711EEC"/>
    <w:rsid w:val="00712261"/>
    <w:rsid w:val="007134B8"/>
    <w:rsid w:val="007142DC"/>
    <w:rsid w:val="00716393"/>
    <w:rsid w:val="007164F8"/>
    <w:rsid w:val="0071698F"/>
    <w:rsid w:val="007169A3"/>
    <w:rsid w:val="00717295"/>
    <w:rsid w:val="0071729E"/>
    <w:rsid w:val="007210A0"/>
    <w:rsid w:val="00723723"/>
    <w:rsid w:val="0072430D"/>
    <w:rsid w:val="00724590"/>
    <w:rsid w:val="00724C12"/>
    <w:rsid w:val="007261C7"/>
    <w:rsid w:val="00726E4F"/>
    <w:rsid w:val="0072746B"/>
    <w:rsid w:val="00730BF3"/>
    <w:rsid w:val="00731276"/>
    <w:rsid w:val="0073159A"/>
    <w:rsid w:val="00733674"/>
    <w:rsid w:val="0073469B"/>
    <w:rsid w:val="00736402"/>
    <w:rsid w:val="0073664A"/>
    <w:rsid w:val="007379A6"/>
    <w:rsid w:val="00737E5F"/>
    <w:rsid w:val="007419A5"/>
    <w:rsid w:val="007419D1"/>
    <w:rsid w:val="007436EB"/>
    <w:rsid w:val="007447CF"/>
    <w:rsid w:val="00744C9A"/>
    <w:rsid w:val="0074519C"/>
    <w:rsid w:val="0074654E"/>
    <w:rsid w:val="00747461"/>
    <w:rsid w:val="00747948"/>
    <w:rsid w:val="00747C0F"/>
    <w:rsid w:val="00751420"/>
    <w:rsid w:val="007517AD"/>
    <w:rsid w:val="00751837"/>
    <w:rsid w:val="00751AC8"/>
    <w:rsid w:val="00752072"/>
    <w:rsid w:val="00752BDC"/>
    <w:rsid w:val="00753448"/>
    <w:rsid w:val="00753DAC"/>
    <w:rsid w:val="0075462B"/>
    <w:rsid w:val="007569B6"/>
    <w:rsid w:val="00757E0C"/>
    <w:rsid w:val="007600D8"/>
    <w:rsid w:val="00762E16"/>
    <w:rsid w:val="00763D0F"/>
    <w:rsid w:val="0076568D"/>
    <w:rsid w:val="0076585C"/>
    <w:rsid w:val="00765E00"/>
    <w:rsid w:val="00766743"/>
    <w:rsid w:val="00766A99"/>
    <w:rsid w:val="00767618"/>
    <w:rsid w:val="00767BD0"/>
    <w:rsid w:val="00767D06"/>
    <w:rsid w:val="00770D8D"/>
    <w:rsid w:val="00770F9C"/>
    <w:rsid w:val="00775B12"/>
    <w:rsid w:val="007826FF"/>
    <w:rsid w:val="00782941"/>
    <w:rsid w:val="00782BF3"/>
    <w:rsid w:val="0078309C"/>
    <w:rsid w:val="00783700"/>
    <w:rsid w:val="00783CEF"/>
    <w:rsid w:val="00783F17"/>
    <w:rsid w:val="007855D3"/>
    <w:rsid w:val="00787027"/>
    <w:rsid w:val="007871AF"/>
    <w:rsid w:val="00787D7A"/>
    <w:rsid w:val="0079029D"/>
    <w:rsid w:val="007930D0"/>
    <w:rsid w:val="007937EC"/>
    <w:rsid w:val="00794E16"/>
    <w:rsid w:val="007953BC"/>
    <w:rsid w:val="00796CF1"/>
    <w:rsid w:val="0079761C"/>
    <w:rsid w:val="007A151A"/>
    <w:rsid w:val="007A1BAA"/>
    <w:rsid w:val="007A2382"/>
    <w:rsid w:val="007A2A8E"/>
    <w:rsid w:val="007A2B71"/>
    <w:rsid w:val="007A64E4"/>
    <w:rsid w:val="007A6A0D"/>
    <w:rsid w:val="007B04AA"/>
    <w:rsid w:val="007B0979"/>
    <w:rsid w:val="007B39F1"/>
    <w:rsid w:val="007B44EF"/>
    <w:rsid w:val="007B5D85"/>
    <w:rsid w:val="007B5DC9"/>
    <w:rsid w:val="007B6EEA"/>
    <w:rsid w:val="007B756F"/>
    <w:rsid w:val="007B7690"/>
    <w:rsid w:val="007C035E"/>
    <w:rsid w:val="007C0F17"/>
    <w:rsid w:val="007C18AD"/>
    <w:rsid w:val="007C1CB7"/>
    <w:rsid w:val="007C1EAA"/>
    <w:rsid w:val="007C1F85"/>
    <w:rsid w:val="007C25FD"/>
    <w:rsid w:val="007C28A9"/>
    <w:rsid w:val="007C42D2"/>
    <w:rsid w:val="007C785D"/>
    <w:rsid w:val="007D1BFE"/>
    <w:rsid w:val="007D21C3"/>
    <w:rsid w:val="007D337B"/>
    <w:rsid w:val="007D41F5"/>
    <w:rsid w:val="007D5882"/>
    <w:rsid w:val="007D738F"/>
    <w:rsid w:val="007D7835"/>
    <w:rsid w:val="007E0C3E"/>
    <w:rsid w:val="007E0CB0"/>
    <w:rsid w:val="007E3285"/>
    <w:rsid w:val="007E3CDD"/>
    <w:rsid w:val="007E4933"/>
    <w:rsid w:val="007E59DF"/>
    <w:rsid w:val="007E750C"/>
    <w:rsid w:val="007E7BCF"/>
    <w:rsid w:val="007F01B4"/>
    <w:rsid w:val="007F2069"/>
    <w:rsid w:val="007F2921"/>
    <w:rsid w:val="007F2FA3"/>
    <w:rsid w:val="007F3783"/>
    <w:rsid w:val="007F644D"/>
    <w:rsid w:val="007F6DBE"/>
    <w:rsid w:val="00800FDD"/>
    <w:rsid w:val="00803F97"/>
    <w:rsid w:val="008065F7"/>
    <w:rsid w:val="00810202"/>
    <w:rsid w:val="008109AA"/>
    <w:rsid w:val="0081331B"/>
    <w:rsid w:val="008147E1"/>
    <w:rsid w:val="00815D5E"/>
    <w:rsid w:val="008161C0"/>
    <w:rsid w:val="0082003E"/>
    <w:rsid w:val="00820139"/>
    <w:rsid w:val="008203B7"/>
    <w:rsid w:val="00820CFE"/>
    <w:rsid w:val="00821498"/>
    <w:rsid w:val="00821D72"/>
    <w:rsid w:val="00822066"/>
    <w:rsid w:val="008234FD"/>
    <w:rsid w:val="00823C87"/>
    <w:rsid w:val="0082528B"/>
    <w:rsid w:val="00825ACA"/>
    <w:rsid w:val="00825EA4"/>
    <w:rsid w:val="008265F5"/>
    <w:rsid w:val="008266AF"/>
    <w:rsid w:val="008268BD"/>
    <w:rsid w:val="00830579"/>
    <w:rsid w:val="00831D25"/>
    <w:rsid w:val="00832485"/>
    <w:rsid w:val="00833B4A"/>
    <w:rsid w:val="0083514C"/>
    <w:rsid w:val="008352CD"/>
    <w:rsid w:val="00840C32"/>
    <w:rsid w:val="008411F6"/>
    <w:rsid w:val="0084133E"/>
    <w:rsid w:val="008429B5"/>
    <w:rsid w:val="0084390A"/>
    <w:rsid w:val="00843A46"/>
    <w:rsid w:val="00844B5E"/>
    <w:rsid w:val="00845D64"/>
    <w:rsid w:val="00847DC0"/>
    <w:rsid w:val="008528E8"/>
    <w:rsid w:val="0085350F"/>
    <w:rsid w:val="00854D47"/>
    <w:rsid w:val="00855BBB"/>
    <w:rsid w:val="00856841"/>
    <w:rsid w:val="00856897"/>
    <w:rsid w:val="00856CEA"/>
    <w:rsid w:val="00857050"/>
    <w:rsid w:val="00860FA5"/>
    <w:rsid w:val="008617AB"/>
    <w:rsid w:val="00862BD9"/>
    <w:rsid w:val="00862E23"/>
    <w:rsid w:val="00863E28"/>
    <w:rsid w:val="00864EE5"/>
    <w:rsid w:val="008669B0"/>
    <w:rsid w:val="00866CA2"/>
    <w:rsid w:val="00866D27"/>
    <w:rsid w:val="00867476"/>
    <w:rsid w:val="008708CC"/>
    <w:rsid w:val="00874C17"/>
    <w:rsid w:val="008760C1"/>
    <w:rsid w:val="00876408"/>
    <w:rsid w:val="00877B6B"/>
    <w:rsid w:val="00877FAB"/>
    <w:rsid w:val="0088186E"/>
    <w:rsid w:val="00882362"/>
    <w:rsid w:val="00882389"/>
    <w:rsid w:val="0088349B"/>
    <w:rsid w:val="00884DFD"/>
    <w:rsid w:val="00884FE6"/>
    <w:rsid w:val="00885189"/>
    <w:rsid w:val="00886484"/>
    <w:rsid w:val="008864A8"/>
    <w:rsid w:val="00886E9C"/>
    <w:rsid w:val="00887129"/>
    <w:rsid w:val="008878ED"/>
    <w:rsid w:val="00887AE3"/>
    <w:rsid w:val="00887EAF"/>
    <w:rsid w:val="00890C21"/>
    <w:rsid w:val="00892D66"/>
    <w:rsid w:val="00894DEB"/>
    <w:rsid w:val="008976AC"/>
    <w:rsid w:val="008978AA"/>
    <w:rsid w:val="008A02C7"/>
    <w:rsid w:val="008A0308"/>
    <w:rsid w:val="008A049E"/>
    <w:rsid w:val="008A067D"/>
    <w:rsid w:val="008A1801"/>
    <w:rsid w:val="008A48A5"/>
    <w:rsid w:val="008A4D9B"/>
    <w:rsid w:val="008A6661"/>
    <w:rsid w:val="008A6912"/>
    <w:rsid w:val="008A6D2F"/>
    <w:rsid w:val="008A6F1E"/>
    <w:rsid w:val="008B0FF7"/>
    <w:rsid w:val="008B15D5"/>
    <w:rsid w:val="008B33C9"/>
    <w:rsid w:val="008B41D9"/>
    <w:rsid w:val="008B47A9"/>
    <w:rsid w:val="008B63FD"/>
    <w:rsid w:val="008B68A3"/>
    <w:rsid w:val="008B6B75"/>
    <w:rsid w:val="008B6CDE"/>
    <w:rsid w:val="008B72F1"/>
    <w:rsid w:val="008C0E1E"/>
    <w:rsid w:val="008C159F"/>
    <w:rsid w:val="008C3526"/>
    <w:rsid w:val="008C35BD"/>
    <w:rsid w:val="008C366C"/>
    <w:rsid w:val="008C43F0"/>
    <w:rsid w:val="008C4908"/>
    <w:rsid w:val="008C4E28"/>
    <w:rsid w:val="008C6109"/>
    <w:rsid w:val="008C6939"/>
    <w:rsid w:val="008C78B8"/>
    <w:rsid w:val="008D04A4"/>
    <w:rsid w:val="008D1452"/>
    <w:rsid w:val="008D2B33"/>
    <w:rsid w:val="008D2F5C"/>
    <w:rsid w:val="008D379A"/>
    <w:rsid w:val="008D573F"/>
    <w:rsid w:val="008D6749"/>
    <w:rsid w:val="008D70C3"/>
    <w:rsid w:val="008D75EE"/>
    <w:rsid w:val="008D7B6C"/>
    <w:rsid w:val="008E0B64"/>
    <w:rsid w:val="008E2200"/>
    <w:rsid w:val="008E2AB0"/>
    <w:rsid w:val="008E2D7E"/>
    <w:rsid w:val="008E4399"/>
    <w:rsid w:val="008E7950"/>
    <w:rsid w:val="008F09F0"/>
    <w:rsid w:val="008F0C6B"/>
    <w:rsid w:val="008F1637"/>
    <w:rsid w:val="008F47DB"/>
    <w:rsid w:val="008F5259"/>
    <w:rsid w:val="008F5ED8"/>
    <w:rsid w:val="008F651D"/>
    <w:rsid w:val="008F6B64"/>
    <w:rsid w:val="009019D8"/>
    <w:rsid w:val="00901B08"/>
    <w:rsid w:val="009036BB"/>
    <w:rsid w:val="009146EC"/>
    <w:rsid w:val="00916D88"/>
    <w:rsid w:val="0092017A"/>
    <w:rsid w:val="009208DC"/>
    <w:rsid w:val="009213BC"/>
    <w:rsid w:val="009228C6"/>
    <w:rsid w:val="00923E05"/>
    <w:rsid w:val="0092506F"/>
    <w:rsid w:val="00925474"/>
    <w:rsid w:val="009257E2"/>
    <w:rsid w:val="009259F9"/>
    <w:rsid w:val="00925D4C"/>
    <w:rsid w:val="0092682D"/>
    <w:rsid w:val="009310E8"/>
    <w:rsid w:val="00931623"/>
    <w:rsid w:val="00933243"/>
    <w:rsid w:val="009337D7"/>
    <w:rsid w:val="00933A6F"/>
    <w:rsid w:val="009354AC"/>
    <w:rsid w:val="009363F2"/>
    <w:rsid w:val="00937036"/>
    <w:rsid w:val="00940222"/>
    <w:rsid w:val="00940C4E"/>
    <w:rsid w:val="009411CC"/>
    <w:rsid w:val="00941B3A"/>
    <w:rsid w:val="00941C61"/>
    <w:rsid w:val="00942DF3"/>
    <w:rsid w:val="009434E4"/>
    <w:rsid w:val="00944FDA"/>
    <w:rsid w:val="00945236"/>
    <w:rsid w:val="00945DA2"/>
    <w:rsid w:val="00946650"/>
    <w:rsid w:val="0094712A"/>
    <w:rsid w:val="0095005B"/>
    <w:rsid w:val="00950259"/>
    <w:rsid w:val="00951C15"/>
    <w:rsid w:val="0095256E"/>
    <w:rsid w:val="00954818"/>
    <w:rsid w:val="0095493B"/>
    <w:rsid w:val="00954CD1"/>
    <w:rsid w:val="00955D46"/>
    <w:rsid w:val="00961098"/>
    <w:rsid w:val="009621C3"/>
    <w:rsid w:val="009623DC"/>
    <w:rsid w:val="00962446"/>
    <w:rsid w:val="0096350A"/>
    <w:rsid w:val="00964B36"/>
    <w:rsid w:val="00964D27"/>
    <w:rsid w:val="00965996"/>
    <w:rsid w:val="009662E6"/>
    <w:rsid w:val="009663B4"/>
    <w:rsid w:val="0096746A"/>
    <w:rsid w:val="009678F9"/>
    <w:rsid w:val="00970AE1"/>
    <w:rsid w:val="00970F83"/>
    <w:rsid w:val="009725DB"/>
    <w:rsid w:val="009730E0"/>
    <w:rsid w:val="00973873"/>
    <w:rsid w:val="00975FA1"/>
    <w:rsid w:val="00976226"/>
    <w:rsid w:val="009769E7"/>
    <w:rsid w:val="009839B6"/>
    <w:rsid w:val="009854C1"/>
    <w:rsid w:val="00985EB5"/>
    <w:rsid w:val="00987468"/>
    <w:rsid w:val="00987D82"/>
    <w:rsid w:val="0099042A"/>
    <w:rsid w:val="0099090C"/>
    <w:rsid w:val="00990C29"/>
    <w:rsid w:val="009911F9"/>
    <w:rsid w:val="0099160B"/>
    <w:rsid w:val="00991A10"/>
    <w:rsid w:val="00994D22"/>
    <w:rsid w:val="00995427"/>
    <w:rsid w:val="009957FD"/>
    <w:rsid w:val="00995CCC"/>
    <w:rsid w:val="00996601"/>
    <w:rsid w:val="00996C5D"/>
    <w:rsid w:val="00996CC8"/>
    <w:rsid w:val="00996F70"/>
    <w:rsid w:val="009970D7"/>
    <w:rsid w:val="009A1861"/>
    <w:rsid w:val="009A4890"/>
    <w:rsid w:val="009A4DF9"/>
    <w:rsid w:val="009A4F9D"/>
    <w:rsid w:val="009B18AA"/>
    <w:rsid w:val="009B3589"/>
    <w:rsid w:val="009B4B35"/>
    <w:rsid w:val="009B562A"/>
    <w:rsid w:val="009B5A63"/>
    <w:rsid w:val="009C014A"/>
    <w:rsid w:val="009C10A2"/>
    <w:rsid w:val="009C1334"/>
    <w:rsid w:val="009C2087"/>
    <w:rsid w:val="009C75DA"/>
    <w:rsid w:val="009C763E"/>
    <w:rsid w:val="009C7766"/>
    <w:rsid w:val="009D0DA6"/>
    <w:rsid w:val="009D2913"/>
    <w:rsid w:val="009D2B03"/>
    <w:rsid w:val="009D3F49"/>
    <w:rsid w:val="009D49CC"/>
    <w:rsid w:val="009D5EB3"/>
    <w:rsid w:val="009D6D31"/>
    <w:rsid w:val="009E032C"/>
    <w:rsid w:val="009E2099"/>
    <w:rsid w:val="009E2405"/>
    <w:rsid w:val="009E2AE0"/>
    <w:rsid w:val="009E2D1C"/>
    <w:rsid w:val="009E499D"/>
    <w:rsid w:val="009E5F24"/>
    <w:rsid w:val="009E6C14"/>
    <w:rsid w:val="009E6CEE"/>
    <w:rsid w:val="009E7559"/>
    <w:rsid w:val="009E76DF"/>
    <w:rsid w:val="009F05E5"/>
    <w:rsid w:val="009F2283"/>
    <w:rsid w:val="009F30DF"/>
    <w:rsid w:val="009F34A5"/>
    <w:rsid w:val="009F3A1A"/>
    <w:rsid w:val="009F4166"/>
    <w:rsid w:val="009F638B"/>
    <w:rsid w:val="009F713D"/>
    <w:rsid w:val="00A00ED5"/>
    <w:rsid w:val="00A00EE4"/>
    <w:rsid w:val="00A01D74"/>
    <w:rsid w:val="00A03AAC"/>
    <w:rsid w:val="00A03B1C"/>
    <w:rsid w:val="00A04186"/>
    <w:rsid w:val="00A0441D"/>
    <w:rsid w:val="00A056A1"/>
    <w:rsid w:val="00A06388"/>
    <w:rsid w:val="00A06A3F"/>
    <w:rsid w:val="00A06B68"/>
    <w:rsid w:val="00A07291"/>
    <w:rsid w:val="00A10291"/>
    <w:rsid w:val="00A11F28"/>
    <w:rsid w:val="00A15468"/>
    <w:rsid w:val="00A163B4"/>
    <w:rsid w:val="00A164A4"/>
    <w:rsid w:val="00A17662"/>
    <w:rsid w:val="00A17B6F"/>
    <w:rsid w:val="00A20AC0"/>
    <w:rsid w:val="00A20CDC"/>
    <w:rsid w:val="00A21064"/>
    <w:rsid w:val="00A21792"/>
    <w:rsid w:val="00A2201F"/>
    <w:rsid w:val="00A223EE"/>
    <w:rsid w:val="00A23A79"/>
    <w:rsid w:val="00A23D62"/>
    <w:rsid w:val="00A23FE0"/>
    <w:rsid w:val="00A24739"/>
    <w:rsid w:val="00A252C2"/>
    <w:rsid w:val="00A26A87"/>
    <w:rsid w:val="00A271EA"/>
    <w:rsid w:val="00A30928"/>
    <w:rsid w:val="00A31843"/>
    <w:rsid w:val="00A33701"/>
    <w:rsid w:val="00A33734"/>
    <w:rsid w:val="00A33C76"/>
    <w:rsid w:val="00A33F5A"/>
    <w:rsid w:val="00A34948"/>
    <w:rsid w:val="00A370AF"/>
    <w:rsid w:val="00A37161"/>
    <w:rsid w:val="00A409DC"/>
    <w:rsid w:val="00A41461"/>
    <w:rsid w:val="00A436C3"/>
    <w:rsid w:val="00A47198"/>
    <w:rsid w:val="00A4748F"/>
    <w:rsid w:val="00A50941"/>
    <w:rsid w:val="00A50CE9"/>
    <w:rsid w:val="00A52D40"/>
    <w:rsid w:val="00A532E2"/>
    <w:rsid w:val="00A5352F"/>
    <w:rsid w:val="00A538DE"/>
    <w:rsid w:val="00A53DB8"/>
    <w:rsid w:val="00A55392"/>
    <w:rsid w:val="00A553A0"/>
    <w:rsid w:val="00A605E4"/>
    <w:rsid w:val="00A610E9"/>
    <w:rsid w:val="00A614C8"/>
    <w:rsid w:val="00A61667"/>
    <w:rsid w:val="00A64188"/>
    <w:rsid w:val="00A6485B"/>
    <w:rsid w:val="00A66A0B"/>
    <w:rsid w:val="00A66AB2"/>
    <w:rsid w:val="00A66BA8"/>
    <w:rsid w:val="00A701F3"/>
    <w:rsid w:val="00A70655"/>
    <w:rsid w:val="00A70E8F"/>
    <w:rsid w:val="00A70EE2"/>
    <w:rsid w:val="00A72797"/>
    <w:rsid w:val="00A7315F"/>
    <w:rsid w:val="00A741E3"/>
    <w:rsid w:val="00A756C0"/>
    <w:rsid w:val="00A767C1"/>
    <w:rsid w:val="00A768C3"/>
    <w:rsid w:val="00A81D06"/>
    <w:rsid w:val="00A8222E"/>
    <w:rsid w:val="00A829D1"/>
    <w:rsid w:val="00A839A2"/>
    <w:rsid w:val="00A842A6"/>
    <w:rsid w:val="00A849A9"/>
    <w:rsid w:val="00A90D9F"/>
    <w:rsid w:val="00A91D56"/>
    <w:rsid w:val="00A93E6F"/>
    <w:rsid w:val="00A94447"/>
    <w:rsid w:val="00A95923"/>
    <w:rsid w:val="00A97E1D"/>
    <w:rsid w:val="00AA041F"/>
    <w:rsid w:val="00AA0638"/>
    <w:rsid w:val="00AA1A5C"/>
    <w:rsid w:val="00AA29C7"/>
    <w:rsid w:val="00AA2EE9"/>
    <w:rsid w:val="00AA3F79"/>
    <w:rsid w:val="00AA4958"/>
    <w:rsid w:val="00AA4D66"/>
    <w:rsid w:val="00AA4DA9"/>
    <w:rsid w:val="00AA634C"/>
    <w:rsid w:val="00AA6AF8"/>
    <w:rsid w:val="00AA7632"/>
    <w:rsid w:val="00AA7B08"/>
    <w:rsid w:val="00AB04CE"/>
    <w:rsid w:val="00AB11A6"/>
    <w:rsid w:val="00AB24B7"/>
    <w:rsid w:val="00AB3AC8"/>
    <w:rsid w:val="00AB53B5"/>
    <w:rsid w:val="00AB73F4"/>
    <w:rsid w:val="00AC0918"/>
    <w:rsid w:val="00AC0BAB"/>
    <w:rsid w:val="00AC0CEF"/>
    <w:rsid w:val="00AC22B6"/>
    <w:rsid w:val="00AC25B0"/>
    <w:rsid w:val="00AC2652"/>
    <w:rsid w:val="00AC5456"/>
    <w:rsid w:val="00AD0FED"/>
    <w:rsid w:val="00AD14DD"/>
    <w:rsid w:val="00AD1A87"/>
    <w:rsid w:val="00AD1D87"/>
    <w:rsid w:val="00AD2BAF"/>
    <w:rsid w:val="00AD3ADB"/>
    <w:rsid w:val="00AD581A"/>
    <w:rsid w:val="00AD5B02"/>
    <w:rsid w:val="00AD5E39"/>
    <w:rsid w:val="00AD68B5"/>
    <w:rsid w:val="00AD7AB2"/>
    <w:rsid w:val="00AD7D84"/>
    <w:rsid w:val="00AE0027"/>
    <w:rsid w:val="00AE09B4"/>
    <w:rsid w:val="00AE0B7A"/>
    <w:rsid w:val="00AE19DA"/>
    <w:rsid w:val="00AE20F6"/>
    <w:rsid w:val="00AE2E6C"/>
    <w:rsid w:val="00AE331F"/>
    <w:rsid w:val="00AE34CC"/>
    <w:rsid w:val="00AE3EF3"/>
    <w:rsid w:val="00AE7D71"/>
    <w:rsid w:val="00AF1318"/>
    <w:rsid w:val="00AF38AD"/>
    <w:rsid w:val="00AF39A9"/>
    <w:rsid w:val="00AF3ABF"/>
    <w:rsid w:val="00AF3B20"/>
    <w:rsid w:val="00AF4965"/>
    <w:rsid w:val="00AF4BA5"/>
    <w:rsid w:val="00AF5856"/>
    <w:rsid w:val="00AF6EDB"/>
    <w:rsid w:val="00AF7389"/>
    <w:rsid w:val="00AF7DEF"/>
    <w:rsid w:val="00B01006"/>
    <w:rsid w:val="00B021A7"/>
    <w:rsid w:val="00B0294C"/>
    <w:rsid w:val="00B03BD0"/>
    <w:rsid w:val="00B05211"/>
    <w:rsid w:val="00B062ED"/>
    <w:rsid w:val="00B06CEA"/>
    <w:rsid w:val="00B10302"/>
    <w:rsid w:val="00B113AA"/>
    <w:rsid w:val="00B11A19"/>
    <w:rsid w:val="00B121E0"/>
    <w:rsid w:val="00B133C2"/>
    <w:rsid w:val="00B14282"/>
    <w:rsid w:val="00B1596C"/>
    <w:rsid w:val="00B15F5E"/>
    <w:rsid w:val="00B16286"/>
    <w:rsid w:val="00B16AC3"/>
    <w:rsid w:val="00B2034B"/>
    <w:rsid w:val="00B20C1B"/>
    <w:rsid w:val="00B22877"/>
    <w:rsid w:val="00B234CB"/>
    <w:rsid w:val="00B24CA4"/>
    <w:rsid w:val="00B2578A"/>
    <w:rsid w:val="00B316EC"/>
    <w:rsid w:val="00B31FE8"/>
    <w:rsid w:val="00B324FE"/>
    <w:rsid w:val="00B33D24"/>
    <w:rsid w:val="00B3462C"/>
    <w:rsid w:val="00B36909"/>
    <w:rsid w:val="00B377FE"/>
    <w:rsid w:val="00B37B4F"/>
    <w:rsid w:val="00B37D9E"/>
    <w:rsid w:val="00B402E9"/>
    <w:rsid w:val="00B40720"/>
    <w:rsid w:val="00B40E3D"/>
    <w:rsid w:val="00B4289C"/>
    <w:rsid w:val="00B438F1"/>
    <w:rsid w:val="00B440E2"/>
    <w:rsid w:val="00B4495A"/>
    <w:rsid w:val="00B44CEC"/>
    <w:rsid w:val="00B4579C"/>
    <w:rsid w:val="00B46A32"/>
    <w:rsid w:val="00B4785E"/>
    <w:rsid w:val="00B47E87"/>
    <w:rsid w:val="00B50236"/>
    <w:rsid w:val="00B52D3C"/>
    <w:rsid w:val="00B53403"/>
    <w:rsid w:val="00B55A6F"/>
    <w:rsid w:val="00B6318E"/>
    <w:rsid w:val="00B637D2"/>
    <w:rsid w:val="00B640C4"/>
    <w:rsid w:val="00B6420D"/>
    <w:rsid w:val="00B649D3"/>
    <w:rsid w:val="00B64A10"/>
    <w:rsid w:val="00B64F08"/>
    <w:rsid w:val="00B65B86"/>
    <w:rsid w:val="00B66043"/>
    <w:rsid w:val="00B66353"/>
    <w:rsid w:val="00B666E8"/>
    <w:rsid w:val="00B66F56"/>
    <w:rsid w:val="00B67C58"/>
    <w:rsid w:val="00B67E5A"/>
    <w:rsid w:val="00B706BA"/>
    <w:rsid w:val="00B71552"/>
    <w:rsid w:val="00B71631"/>
    <w:rsid w:val="00B71C4A"/>
    <w:rsid w:val="00B73231"/>
    <w:rsid w:val="00B76A57"/>
    <w:rsid w:val="00B774B3"/>
    <w:rsid w:val="00B77F3C"/>
    <w:rsid w:val="00B80B0A"/>
    <w:rsid w:val="00B80D0A"/>
    <w:rsid w:val="00B81ADA"/>
    <w:rsid w:val="00B82B7E"/>
    <w:rsid w:val="00B82F15"/>
    <w:rsid w:val="00B846FD"/>
    <w:rsid w:val="00B84934"/>
    <w:rsid w:val="00B85DE9"/>
    <w:rsid w:val="00B860CA"/>
    <w:rsid w:val="00B902EA"/>
    <w:rsid w:val="00B905FD"/>
    <w:rsid w:val="00B92D94"/>
    <w:rsid w:val="00B92EFD"/>
    <w:rsid w:val="00B94FCE"/>
    <w:rsid w:val="00B96275"/>
    <w:rsid w:val="00BA09DE"/>
    <w:rsid w:val="00BA3EBB"/>
    <w:rsid w:val="00BA4369"/>
    <w:rsid w:val="00BA6BFB"/>
    <w:rsid w:val="00BA70C7"/>
    <w:rsid w:val="00BA7D3A"/>
    <w:rsid w:val="00BB0EAA"/>
    <w:rsid w:val="00BB2F6D"/>
    <w:rsid w:val="00BB52C1"/>
    <w:rsid w:val="00BB77C6"/>
    <w:rsid w:val="00BC0DEA"/>
    <w:rsid w:val="00BC1AE1"/>
    <w:rsid w:val="00BC3AED"/>
    <w:rsid w:val="00BC3C53"/>
    <w:rsid w:val="00BC3DCF"/>
    <w:rsid w:val="00BC40B5"/>
    <w:rsid w:val="00BC53FC"/>
    <w:rsid w:val="00BC6290"/>
    <w:rsid w:val="00BC6B85"/>
    <w:rsid w:val="00BC7931"/>
    <w:rsid w:val="00BD04A8"/>
    <w:rsid w:val="00BD0A7C"/>
    <w:rsid w:val="00BD3174"/>
    <w:rsid w:val="00BD502B"/>
    <w:rsid w:val="00BD66CF"/>
    <w:rsid w:val="00BE0029"/>
    <w:rsid w:val="00BE0FF3"/>
    <w:rsid w:val="00BE1020"/>
    <w:rsid w:val="00BE16EF"/>
    <w:rsid w:val="00BE1802"/>
    <w:rsid w:val="00BE26DF"/>
    <w:rsid w:val="00BE29C2"/>
    <w:rsid w:val="00BE3533"/>
    <w:rsid w:val="00BE4366"/>
    <w:rsid w:val="00BE4EBA"/>
    <w:rsid w:val="00BE7E70"/>
    <w:rsid w:val="00BF010B"/>
    <w:rsid w:val="00BF013C"/>
    <w:rsid w:val="00BF339F"/>
    <w:rsid w:val="00BF50F0"/>
    <w:rsid w:val="00C0251B"/>
    <w:rsid w:val="00C02C9A"/>
    <w:rsid w:val="00C035C5"/>
    <w:rsid w:val="00C03E81"/>
    <w:rsid w:val="00C04B6B"/>
    <w:rsid w:val="00C059E5"/>
    <w:rsid w:val="00C0746C"/>
    <w:rsid w:val="00C1029C"/>
    <w:rsid w:val="00C12BEA"/>
    <w:rsid w:val="00C15E60"/>
    <w:rsid w:val="00C224D3"/>
    <w:rsid w:val="00C2494B"/>
    <w:rsid w:val="00C2667C"/>
    <w:rsid w:val="00C27089"/>
    <w:rsid w:val="00C27531"/>
    <w:rsid w:val="00C31064"/>
    <w:rsid w:val="00C3255D"/>
    <w:rsid w:val="00C326BE"/>
    <w:rsid w:val="00C332D5"/>
    <w:rsid w:val="00C36901"/>
    <w:rsid w:val="00C36C33"/>
    <w:rsid w:val="00C37AD3"/>
    <w:rsid w:val="00C406BE"/>
    <w:rsid w:val="00C40D24"/>
    <w:rsid w:val="00C415D1"/>
    <w:rsid w:val="00C440DF"/>
    <w:rsid w:val="00C444FE"/>
    <w:rsid w:val="00C45C95"/>
    <w:rsid w:val="00C50E34"/>
    <w:rsid w:val="00C52CBD"/>
    <w:rsid w:val="00C544C2"/>
    <w:rsid w:val="00C5668C"/>
    <w:rsid w:val="00C56DB6"/>
    <w:rsid w:val="00C60D69"/>
    <w:rsid w:val="00C62A11"/>
    <w:rsid w:val="00C62FE2"/>
    <w:rsid w:val="00C63B74"/>
    <w:rsid w:val="00C63D22"/>
    <w:rsid w:val="00C6405E"/>
    <w:rsid w:val="00C65499"/>
    <w:rsid w:val="00C658C1"/>
    <w:rsid w:val="00C65B87"/>
    <w:rsid w:val="00C65C9A"/>
    <w:rsid w:val="00C6751C"/>
    <w:rsid w:val="00C6767E"/>
    <w:rsid w:val="00C67CE9"/>
    <w:rsid w:val="00C7174F"/>
    <w:rsid w:val="00C744F4"/>
    <w:rsid w:val="00C74879"/>
    <w:rsid w:val="00C74F0A"/>
    <w:rsid w:val="00C763CC"/>
    <w:rsid w:val="00C76D96"/>
    <w:rsid w:val="00C77CA0"/>
    <w:rsid w:val="00C801E4"/>
    <w:rsid w:val="00C807AA"/>
    <w:rsid w:val="00C81076"/>
    <w:rsid w:val="00C81671"/>
    <w:rsid w:val="00C82236"/>
    <w:rsid w:val="00C8273F"/>
    <w:rsid w:val="00C830AA"/>
    <w:rsid w:val="00C83356"/>
    <w:rsid w:val="00C848D6"/>
    <w:rsid w:val="00C901E8"/>
    <w:rsid w:val="00C90622"/>
    <w:rsid w:val="00C9185A"/>
    <w:rsid w:val="00C92149"/>
    <w:rsid w:val="00C930F9"/>
    <w:rsid w:val="00C93ACB"/>
    <w:rsid w:val="00C9568A"/>
    <w:rsid w:val="00CA08FC"/>
    <w:rsid w:val="00CA16EE"/>
    <w:rsid w:val="00CA2943"/>
    <w:rsid w:val="00CA2FEC"/>
    <w:rsid w:val="00CA3216"/>
    <w:rsid w:val="00CA3746"/>
    <w:rsid w:val="00CA52C0"/>
    <w:rsid w:val="00CA6872"/>
    <w:rsid w:val="00CA6911"/>
    <w:rsid w:val="00CB04E6"/>
    <w:rsid w:val="00CB1E96"/>
    <w:rsid w:val="00CB3BEF"/>
    <w:rsid w:val="00CB4EAC"/>
    <w:rsid w:val="00CB6018"/>
    <w:rsid w:val="00CB6672"/>
    <w:rsid w:val="00CB6E5D"/>
    <w:rsid w:val="00CB733A"/>
    <w:rsid w:val="00CB7A90"/>
    <w:rsid w:val="00CC12CF"/>
    <w:rsid w:val="00CC3621"/>
    <w:rsid w:val="00CC3864"/>
    <w:rsid w:val="00CC511B"/>
    <w:rsid w:val="00CC52DD"/>
    <w:rsid w:val="00CC5D84"/>
    <w:rsid w:val="00CD0643"/>
    <w:rsid w:val="00CD2193"/>
    <w:rsid w:val="00CD2742"/>
    <w:rsid w:val="00CD3363"/>
    <w:rsid w:val="00CD442E"/>
    <w:rsid w:val="00CD5642"/>
    <w:rsid w:val="00CD6813"/>
    <w:rsid w:val="00CD7608"/>
    <w:rsid w:val="00CD7668"/>
    <w:rsid w:val="00CE08F7"/>
    <w:rsid w:val="00CE0C3D"/>
    <w:rsid w:val="00CE1E3C"/>
    <w:rsid w:val="00CE2C64"/>
    <w:rsid w:val="00CE4A10"/>
    <w:rsid w:val="00CE7B8C"/>
    <w:rsid w:val="00CF0052"/>
    <w:rsid w:val="00CF1532"/>
    <w:rsid w:val="00CF20D8"/>
    <w:rsid w:val="00CF295B"/>
    <w:rsid w:val="00CF2966"/>
    <w:rsid w:val="00CF3A9B"/>
    <w:rsid w:val="00CF6D04"/>
    <w:rsid w:val="00D00609"/>
    <w:rsid w:val="00D010DB"/>
    <w:rsid w:val="00D01313"/>
    <w:rsid w:val="00D02678"/>
    <w:rsid w:val="00D028D4"/>
    <w:rsid w:val="00D02D4D"/>
    <w:rsid w:val="00D0350C"/>
    <w:rsid w:val="00D03811"/>
    <w:rsid w:val="00D05F0C"/>
    <w:rsid w:val="00D0623C"/>
    <w:rsid w:val="00D06B61"/>
    <w:rsid w:val="00D06C53"/>
    <w:rsid w:val="00D07A21"/>
    <w:rsid w:val="00D10F16"/>
    <w:rsid w:val="00D1159A"/>
    <w:rsid w:val="00D11B43"/>
    <w:rsid w:val="00D12B55"/>
    <w:rsid w:val="00D12D62"/>
    <w:rsid w:val="00D13B09"/>
    <w:rsid w:val="00D13E7D"/>
    <w:rsid w:val="00D16279"/>
    <w:rsid w:val="00D16F27"/>
    <w:rsid w:val="00D17159"/>
    <w:rsid w:val="00D179A1"/>
    <w:rsid w:val="00D20046"/>
    <w:rsid w:val="00D20496"/>
    <w:rsid w:val="00D204D3"/>
    <w:rsid w:val="00D20D06"/>
    <w:rsid w:val="00D213FE"/>
    <w:rsid w:val="00D248AF"/>
    <w:rsid w:val="00D24D6C"/>
    <w:rsid w:val="00D25981"/>
    <w:rsid w:val="00D261B4"/>
    <w:rsid w:val="00D26A5B"/>
    <w:rsid w:val="00D31A32"/>
    <w:rsid w:val="00D338FD"/>
    <w:rsid w:val="00D3448B"/>
    <w:rsid w:val="00D34959"/>
    <w:rsid w:val="00D35205"/>
    <w:rsid w:val="00D37597"/>
    <w:rsid w:val="00D3784B"/>
    <w:rsid w:val="00D40293"/>
    <w:rsid w:val="00D41E12"/>
    <w:rsid w:val="00D42CD5"/>
    <w:rsid w:val="00D43ABE"/>
    <w:rsid w:val="00D443B2"/>
    <w:rsid w:val="00D459DD"/>
    <w:rsid w:val="00D45A93"/>
    <w:rsid w:val="00D52EED"/>
    <w:rsid w:val="00D53BA5"/>
    <w:rsid w:val="00D54A5F"/>
    <w:rsid w:val="00D54E80"/>
    <w:rsid w:val="00D5624C"/>
    <w:rsid w:val="00D5677E"/>
    <w:rsid w:val="00D56948"/>
    <w:rsid w:val="00D600C1"/>
    <w:rsid w:val="00D6022F"/>
    <w:rsid w:val="00D60C9B"/>
    <w:rsid w:val="00D614C0"/>
    <w:rsid w:val="00D61BC2"/>
    <w:rsid w:val="00D62443"/>
    <w:rsid w:val="00D63D4D"/>
    <w:rsid w:val="00D6508B"/>
    <w:rsid w:val="00D654DE"/>
    <w:rsid w:val="00D65B46"/>
    <w:rsid w:val="00D70AD8"/>
    <w:rsid w:val="00D70B0A"/>
    <w:rsid w:val="00D70B65"/>
    <w:rsid w:val="00D70B75"/>
    <w:rsid w:val="00D724C3"/>
    <w:rsid w:val="00D729DE"/>
    <w:rsid w:val="00D731A8"/>
    <w:rsid w:val="00D739E0"/>
    <w:rsid w:val="00D76903"/>
    <w:rsid w:val="00D76A50"/>
    <w:rsid w:val="00D80104"/>
    <w:rsid w:val="00D82A43"/>
    <w:rsid w:val="00D83A37"/>
    <w:rsid w:val="00D858A3"/>
    <w:rsid w:val="00D864E3"/>
    <w:rsid w:val="00D86B5F"/>
    <w:rsid w:val="00D90D84"/>
    <w:rsid w:val="00D918F7"/>
    <w:rsid w:val="00D926D2"/>
    <w:rsid w:val="00D92BA8"/>
    <w:rsid w:val="00D937FA"/>
    <w:rsid w:val="00D93EB1"/>
    <w:rsid w:val="00D94892"/>
    <w:rsid w:val="00D959C5"/>
    <w:rsid w:val="00D9635D"/>
    <w:rsid w:val="00D969A0"/>
    <w:rsid w:val="00D96AC4"/>
    <w:rsid w:val="00DA1A3E"/>
    <w:rsid w:val="00DA2339"/>
    <w:rsid w:val="00DA2A30"/>
    <w:rsid w:val="00DA2ED7"/>
    <w:rsid w:val="00DA4782"/>
    <w:rsid w:val="00DA4FCC"/>
    <w:rsid w:val="00DA5457"/>
    <w:rsid w:val="00DA551F"/>
    <w:rsid w:val="00DA5BFC"/>
    <w:rsid w:val="00DA6D24"/>
    <w:rsid w:val="00DA7697"/>
    <w:rsid w:val="00DA782B"/>
    <w:rsid w:val="00DB0E56"/>
    <w:rsid w:val="00DB1160"/>
    <w:rsid w:val="00DB15E2"/>
    <w:rsid w:val="00DB23AF"/>
    <w:rsid w:val="00DB2751"/>
    <w:rsid w:val="00DB4193"/>
    <w:rsid w:val="00DB507B"/>
    <w:rsid w:val="00DB5463"/>
    <w:rsid w:val="00DB6BB5"/>
    <w:rsid w:val="00DC0968"/>
    <w:rsid w:val="00DC188E"/>
    <w:rsid w:val="00DC264E"/>
    <w:rsid w:val="00DC2EA6"/>
    <w:rsid w:val="00DC34A6"/>
    <w:rsid w:val="00DC3535"/>
    <w:rsid w:val="00DC4393"/>
    <w:rsid w:val="00DC507B"/>
    <w:rsid w:val="00DC5BBC"/>
    <w:rsid w:val="00DC6BDA"/>
    <w:rsid w:val="00DC768C"/>
    <w:rsid w:val="00DD0282"/>
    <w:rsid w:val="00DD0CD2"/>
    <w:rsid w:val="00DD0DAC"/>
    <w:rsid w:val="00DD2530"/>
    <w:rsid w:val="00DD2652"/>
    <w:rsid w:val="00DD2CE5"/>
    <w:rsid w:val="00DD2FE7"/>
    <w:rsid w:val="00DD4426"/>
    <w:rsid w:val="00DD4C17"/>
    <w:rsid w:val="00DD56EE"/>
    <w:rsid w:val="00DD58CB"/>
    <w:rsid w:val="00DD5FE1"/>
    <w:rsid w:val="00DD7FF6"/>
    <w:rsid w:val="00DE14C5"/>
    <w:rsid w:val="00DE2466"/>
    <w:rsid w:val="00DE4A8A"/>
    <w:rsid w:val="00DE5D94"/>
    <w:rsid w:val="00DE7780"/>
    <w:rsid w:val="00DF0142"/>
    <w:rsid w:val="00DF0A0C"/>
    <w:rsid w:val="00DF171B"/>
    <w:rsid w:val="00DF179F"/>
    <w:rsid w:val="00DF2348"/>
    <w:rsid w:val="00DF324A"/>
    <w:rsid w:val="00DF3394"/>
    <w:rsid w:val="00DF4985"/>
    <w:rsid w:val="00DF5451"/>
    <w:rsid w:val="00DF6754"/>
    <w:rsid w:val="00DF6789"/>
    <w:rsid w:val="00E01992"/>
    <w:rsid w:val="00E02030"/>
    <w:rsid w:val="00E024D5"/>
    <w:rsid w:val="00E0330B"/>
    <w:rsid w:val="00E03AA2"/>
    <w:rsid w:val="00E03EA0"/>
    <w:rsid w:val="00E051D7"/>
    <w:rsid w:val="00E07986"/>
    <w:rsid w:val="00E11416"/>
    <w:rsid w:val="00E1285E"/>
    <w:rsid w:val="00E13033"/>
    <w:rsid w:val="00E1515E"/>
    <w:rsid w:val="00E151A6"/>
    <w:rsid w:val="00E1545D"/>
    <w:rsid w:val="00E15ACB"/>
    <w:rsid w:val="00E16F7C"/>
    <w:rsid w:val="00E20198"/>
    <w:rsid w:val="00E20200"/>
    <w:rsid w:val="00E20683"/>
    <w:rsid w:val="00E21A01"/>
    <w:rsid w:val="00E21AB1"/>
    <w:rsid w:val="00E22C46"/>
    <w:rsid w:val="00E24581"/>
    <w:rsid w:val="00E24741"/>
    <w:rsid w:val="00E249C5"/>
    <w:rsid w:val="00E26EF1"/>
    <w:rsid w:val="00E27787"/>
    <w:rsid w:val="00E27B14"/>
    <w:rsid w:val="00E30F2F"/>
    <w:rsid w:val="00E32360"/>
    <w:rsid w:val="00E32531"/>
    <w:rsid w:val="00E32DD1"/>
    <w:rsid w:val="00E33705"/>
    <w:rsid w:val="00E33EE8"/>
    <w:rsid w:val="00E344E2"/>
    <w:rsid w:val="00E36A8B"/>
    <w:rsid w:val="00E36F28"/>
    <w:rsid w:val="00E371C7"/>
    <w:rsid w:val="00E375E2"/>
    <w:rsid w:val="00E37725"/>
    <w:rsid w:val="00E379F9"/>
    <w:rsid w:val="00E37C11"/>
    <w:rsid w:val="00E40133"/>
    <w:rsid w:val="00E44870"/>
    <w:rsid w:val="00E449FE"/>
    <w:rsid w:val="00E4517F"/>
    <w:rsid w:val="00E46205"/>
    <w:rsid w:val="00E46354"/>
    <w:rsid w:val="00E466DB"/>
    <w:rsid w:val="00E46B1B"/>
    <w:rsid w:val="00E50964"/>
    <w:rsid w:val="00E52388"/>
    <w:rsid w:val="00E53664"/>
    <w:rsid w:val="00E54AFA"/>
    <w:rsid w:val="00E57975"/>
    <w:rsid w:val="00E60910"/>
    <w:rsid w:val="00E61167"/>
    <w:rsid w:val="00E61633"/>
    <w:rsid w:val="00E61741"/>
    <w:rsid w:val="00E61D4A"/>
    <w:rsid w:val="00E624F8"/>
    <w:rsid w:val="00E6257C"/>
    <w:rsid w:val="00E626BD"/>
    <w:rsid w:val="00E63AD6"/>
    <w:rsid w:val="00E63CB7"/>
    <w:rsid w:val="00E6444F"/>
    <w:rsid w:val="00E66288"/>
    <w:rsid w:val="00E6705E"/>
    <w:rsid w:val="00E67B2D"/>
    <w:rsid w:val="00E70690"/>
    <w:rsid w:val="00E70B6C"/>
    <w:rsid w:val="00E718F6"/>
    <w:rsid w:val="00E72395"/>
    <w:rsid w:val="00E74206"/>
    <w:rsid w:val="00E75181"/>
    <w:rsid w:val="00E75C03"/>
    <w:rsid w:val="00E77203"/>
    <w:rsid w:val="00E80A44"/>
    <w:rsid w:val="00E8406B"/>
    <w:rsid w:val="00E84B6C"/>
    <w:rsid w:val="00E84D7A"/>
    <w:rsid w:val="00E85DFA"/>
    <w:rsid w:val="00E860AC"/>
    <w:rsid w:val="00E86366"/>
    <w:rsid w:val="00E87F47"/>
    <w:rsid w:val="00E914BA"/>
    <w:rsid w:val="00E91543"/>
    <w:rsid w:val="00E916D7"/>
    <w:rsid w:val="00E920DD"/>
    <w:rsid w:val="00E92BDF"/>
    <w:rsid w:val="00E93015"/>
    <w:rsid w:val="00E94A6C"/>
    <w:rsid w:val="00E96EFD"/>
    <w:rsid w:val="00EA08A7"/>
    <w:rsid w:val="00EA3AAD"/>
    <w:rsid w:val="00EA44FF"/>
    <w:rsid w:val="00EA4651"/>
    <w:rsid w:val="00EA565F"/>
    <w:rsid w:val="00EA6452"/>
    <w:rsid w:val="00EA657C"/>
    <w:rsid w:val="00EA6E11"/>
    <w:rsid w:val="00EA7B60"/>
    <w:rsid w:val="00EA7F52"/>
    <w:rsid w:val="00EB2101"/>
    <w:rsid w:val="00EB240E"/>
    <w:rsid w:val="00EB347A"/>
    <w:rsid w:val="00EB34B3"/>
    <w:rsid w:val="00EB3786"/>
    <w:rsid w:val="00EB488F"/>
    <w:rsid w:val="00EB4C18"/>
    <w:rsid w:val="00EB4E60"/>
    <w:rsid w:val="00EB6461"/>
    <w:rsid w:val="00EB7629"/>
    <w:rsid w:val="00EB7EF5"/>
    <w:rsid w:val="00EC0E26"/>
    <w:rsid w:val="00EC17EB"/>
    <w:rsid w:val="00EC482C"/>
    <w:rsid w:val="00EC5D28"/>
    <w:rsid w:val="00EC5F14"/>
    <w:rsid w:val="00EC6023"/>
    <w:rsid w:val="00EC74E3"/>
    <w:rsid w:val="00EC7A7F"/>
    <w:rsid w:val="00ED0ED7"/>
    <w:rsid w:val="00ED216B"/>
    <w:rsid w:val="00ED34A8"/>
    <w:rsid w:val="00ED5C09"/>
    <w:rsid w:val="00ED673D"/>
    <w:rsid w:val="00EE12EC"/>
    <w:rsid w:val="00EE13BA"/>
    <w:rsid w:val="00EE233B"/>
    <w:rsid w:val="00EE4FC7"/>
    <w:rsid w:val="00EE5EB2"/>
    <w:rsid w:val="00EE6179"/>
    <w:rsid w:val="00EE671C"/>
    <w:rsid w:val="00EE6ED5"/>
    <w:rsid w:val="00EE7C4A"/>
    <w:rsid w:val="00EF0460"/>
    <w:rsid w:val="00EF04D3"/>
    <w:rsid w:val="00EF20B4"/>
    <w:rsid w:val="00EF2C4D"/>
    <w:rsid w:val="00EF484A"/>
    <w:rsid w:val="00EF63B6"/>
    <w:rsid w:val="00F00435"/>
    <w:rsid w:val="00F00C1E"/>
    <w:rsid w:val="00F01073"/>
    <w:rsid w:val="00F01638"/>
    <w:rsid w:val="00F039CF"/>
    <w:rsid w:val="00F03DBD"/>
    <w:rsid w:val="00F044C5"/>
    <w:rsid w:val="00F0546E"/>
    <w:rsid w:val="00F05F48"/>
    <w:rsid w:val="00F06973"/>
    <w:rsid w:val="00F10414"/>
    <w:rsid w:val="00F1085E"/>
    <w:rsid w:val="00F10960"/>
    <w:rsid w:val="00F142EC"/>
    <w:rsid w:val="00F1501B"/>
    <w:rsid w:val="00F15198"/>
    <w:rsid w:val="00F16F6C"/>
    <w:rsid w:val="00F20F17"/>
    <w:rsid w:val="00F212C8"/>
    <w:rsid w:val="00F22011"/>
    <w:rsid w:val="00F230C2"/>
    <w:rsid w:val="00F238FD"/>
    <w:rsid w:val="00F2485A"/>
    <w:rsid w:val="00F24F7C"/>
    <w:rsid w:val="00F269AA"/>
    <w:rsid w:val="00F30739"/>
    <w:rsid w:val="00F325FF"/>
    <w:rsid w:val="00F32C2E"/>
    <w:rsid w:val="00F32C47"/>
    <w:rsid w:val="00F347C3"/>
    <w:rsid w:val="00F3578F"/>
    <w:rsid w:val="00F36375"/>
    <w:rsid w:val="00F36940"/>
    <w:rsid w:val="00F3717D"/>
    <w:rsid w:val="00F40218"/>
    <w:rsid w:val="00F4150B"/>
    <w:rsid w:val="00F418AD"/>
    <w:rsid w:val="00F4190F"/>
    <w:rsid w:val="00F41CAC"/>
    <w:rsid w:val="00F432B3"/>
    <w:rsid w:val="00F433A7"/>
    <w:rsid w:val="00F43DA2"/>
    <w:rsid w:val="00F44FC1"/>
    <w:rsid w:val="00F45C41"/>
    <w:rsid w:val="00F50002"/>
    <w:rsid w:val="00F50241"/>
    <w:rsid w:val="00F50911"/>
    <w:rsid w:val="00F50E81"/>
    <w:rsid w:val="00F51709"/>
    <w:rsid w:val="00F523E7"/>
    <w:rsid w:val="00F5258A"/>
    <w:rsid w:val="00F53044"/>
    <w:rsid w:val="00F533B0"/>
    <w:rsid w:val="00F54089"/>
    <w:rsid w:val="00F55D7D"/>
    <w:rsid w:val="00F57E53"/>
    <w:rsid w:val="00F61EAB"/>
    <w:rsid w:val="00F63892"/>
    <w:rsid w:val="00F63C75"/>
    <w:rsid w:val="00F64839"/>
    <w:rsid w:val="00F6523F"/>
    <w:rsid w:val="00F65664"/>
    <w:rsid w:val="00F65AC8"/>
    <w:rsid w:val="00F66449"/>
    <w:rsid w:val="00F666BD"/>
    <w:rsid w:val="00F70513"/>
    <w:rsid w:val="00F70C8E"/>
    <w:rsid w:val="00F71C9C"/>
    <w:rsid w:val="00F72239"/>
    <w:rsid w:val="00F732DC"/>
    <w:rsid w:val="00F740B7"/>
    <w:rsid w:val="00F741BE"/>
    <w:rsid w:val="00F7509D"/>
    <w:rsid w:val="00F80895"/>
    <w:rsid w:val="00F80F5D"/>
    <w:rsid w:val="00F82519"/>
    <w:rsid w:val="00F837C7"/>
    <w:rsid w:val="00F841FA"/>
    <w:rsid w:val="00F8581F"/>
    <w:rsid w:val="00F867C4"/>
    <w:rsid w:val="00F86F3D"/>
    <w:rsid w:val="00F87FE5"/>
    <w:rsid w:val="00F90CF4"/>
    <w:rsid w:val="00F91D98"/>
    <w:rsid w:val="00F91E4C"/>
    <w:rsid w:val="00F94D07"/>
    <w:rsid w:val="00F96C21"/>
    <w:rsid w:val="00F9732A"/>
    <w:rsid w:val="00F97817"/>
    <w:rsid w:val="00F97A4B"/>
    <w:rsid w:val="00F97B69"/>
    <w:rsid w:val="00FA095B"/>
    <w:rsid w:val="00FA2BCC"/>
    <w:rsid w:val="00FA305C"/>
    <w:rsid w:val="00FA37F9"/>
    <w:rsid w:val="00FA38A2"/>
    <w:rsid w:val="00FA7369"/>
    <w:rsid w:val="00FA7489"/>
    <w:rsid w:val="00FB0BB0"/>
    <w:rsid w:val="00FB1195"/>
    <w:rsid w:val="00FB1283"/>
    <w:rsid w:val="00FB2A3D"/>
    <w:rsid w:val="00FB2E5C"/>
    <w:rsid w:val="00FB3433"/>
    <w:rsid w:val="00FB405E"/>
    <w:rsid w:val="00FB5C80"/>
    <w:rsid w:val="00FC003A"/>
    <w:rsid w:val="00FC1079"/>
    <w:rsid w:val="00FC1C75"/>
    <w:rsid w:val="00FC20D4"/>
    <w:rsid w:val="00FC2450"/>
    <w:rsid w:val="00FC2B18"/>
    <w:rsid w:val="00FC46FF"/>
    <w:rsid w:val="00FC48D3"/>
    <w:rsid w:val="00FC4B15"/>
    <w:rsid w:val="00FC5B66"/>
    <w:rsid w:val="00FC6075"/>
    <w:rsid w:val="00FC78A7"/>
    <w:rsid w:val="00FD0C50"/>
    <w:rsid w:val="00FD1D71"/>
    <w:rsid w:val="00FD313F"/>
    <w:rsid w:val="00FD5286"/>
    <w:rsid w:val="00FD5881"/>
    <w:rsid w:val="00FD5D87"/>
    <w:rsid w:val="00FD72AC"/>
    <w:rsid w:val="00FE0015"/>
    <w:rsid w:val="00FE043E"/>
    <w:rsid w:val="00FE065D"/>
    <w:rsid w:val="00FE0EFB"/>
    <w:rsid w:val="00FE310F"/>
    <w:rsid w:val="00FE34E5"/>
    <w:rsid w:val="00FE365D"/>
    <w:rsid w:val="00FE37E1"/>
    <w:rsid w:val="00FE42C4"/>
    <w:rsid w:val="00FF193E"/>
    <w:rsid w:val="00FF2FB9"/>
    <w:rsid w:val="00FF30F8"/>
    <w:rsid w:val="00FF3CFB"/>
    <w:rsid w:val="00FF491B"/>
    <w:rsid w:val="00FF561C"/>
    <w:rsid w:val="02CC4470"/>
    <w:rsid w:val="07B96196"/>
    <w:rsid w:val="0DED2895"/>
    <w:rsid w:val="127A5B76"/>
    <w:rsid w:val="17A15CD6"/>
    <w:rsid w:val="18A34DB6"/>
    <w:rsid w:val="2087660B"/>
    <w:rsid w:val="215D4821"/>
    <w:rsid w:val="21AA64D4"/>
    <w:rsid w:val="27381A82"/>
    <w:rsid w:val="2D3C6472"/>
    <w:rsid w:val="36E265EE"/>
    <w:rsid w:val="383B57A9"/>
    <w:rsid w:val="3D0036EE"/>
    <w:rsid w:val="3D68763F"/>
    <w:rsid w:val="3E4C5075"/>
    <w:rsid w:val="3F7947B4"/>
    <w:rsid w:val="464360E1"/>
    <w:rsid w:val="4C59597D"/>
    <w:rsid w:val="51CE3660"/>
    <w:rsid w:val="55D342BF"/>
    <w:rsid w:val="74662E38"/>
    <w:rsid w:val="7A721444"/>
    <w:rsid w:val="7B607E8F"/>
    <w:rsid w:val="7E82272C"/>
    <w:rsid w:val="7E944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40" w:firstLineChars="200"/>
      <w:jc w:val="both"/>
    </w:pPr>
    <w:rPr>
      <w:rFonts w:ascii="Times New Roman" w:hAnsi="Times New Roman" w:eastAsia="宋体" w:cs="Times New Roman"/>
      <w:kern w:val="2"/>
      <w:sz w:val="22"/>
      <w:szCs w:val="24"/>
      <w:lang w:val="en-US" w:eastAsia="zh-CN" w:bidi="ar-SA"/>
    </w:rPr>
  </w:style>
  <w:style w:type="paragraph" w:styleId="2">
    <w:name w:val="heading 1"/>
    <w:basedOn w:val="3"/>
    <w:next w:val="1"/>
    <w:link w:val="29"/>
    <w:qFormat/>
    <w:uiPriority w:val="0"/>
    <w:pPr>
      <w:outlineLvl w:val="0"/>
    </w:p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学习材料标题样式二"/>
    <w:basedOn w:val="4"/>
    <w:link w:val="30"/>
    <w:qFormat/>
    <w:uiPriority w:val="0"/>
    <w:pPr>
      <w:spacing w:before="0" w:after="156" w:line="240" w:lineRule="auto"/>
      <w:ind w:firstLine="0" w:firstLineChars="0"/>
      <w:jc w:val="center"/>
    </w:pPr>
    <w:rPr>
      <w:rFonts w:ascii="方正小标宋简体" w:hAnsi="Times New Roman" w:eastAsia="方正小标宋简体" w:cs="Tahoma"/>
      <w:spacing w:val="-4"/>
      <w:kern w:val="0"/>
    </w:rPr>
  </w:style>
  <w:style w:type="paragraph" w:styleId="8">
    <w:name w:val="toc 3"/>
    <w:basedOn w:val="1"/>
    <w:next w:val="1"/>
    <w:qFormat/>
    <w:uiPriority w:val="39"/>
    <w:pPr>
      <w:tabs>
        <w:tab w:val="right" w:leader="dot" w:pos="8318"/>
      </w:tabs>
      <w:ind w:left="178" w:leftChars="85"/>
    </w:p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5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18"/>
      </w:tabs>
    </w:pPr>
    <w:rPr>
      <w:rFonts w:ascii="楷体_GB2312" w:eastAsia="楷体_GB2312"/>
      <w:b/>
      <w:spacing w:val="-20"/>
      <w:sz w:val="30"/>
      <w:szCs w:val="30"/>
    </w:rPr>
  </w:style>
  <w:style w:type="paragraph" w:styleId="14">
    <w:name w:val="Subtitle"/>
    <w:basedOn w:val="1"/>
    <w:next w:val="1"/>
    <w:link w:val="50"/>
    <w:qFormat/>
    <w:uiPriority w:val="0"/>
    <w:pPr>
      <w:spacing w:beforeLines="50" w:afterLines="50"/>
      <w:ind w:firstLine="0" w:firstLineChars="0"/>
      <w:jc w:val="center"/>
    </w:pPr>
    <w:rPr>
      <w:rFonts w:ascii="楷体" w:hAnsi="楷体" w:eastAsia="楷体"/>
      <w:b/>
      <w:sz w:val="28"/>
    </w:rPr>
  </w:style>
  <w:style w:type="paragraph" w:styleId="15">
    <w:name w:val="toc 2"/>
    <w:basedOn w:val="1"/>
    <w:next w:val="1"/>
    <w:qFormat/>
    <w:uiPriority w:val="39"/>
    <w:pPr>
      <w:tabs>
        <w:tab w:val="right" w:leader="dot" w:pos="8296"/>
      </w:tabs>
      <w:ind w:left="420"/>
      <w:jc w:val="center"/>
    </w:pPr>
    <w:rPr>
      <w:b/>
      <w:sz w:val="24"/>
      <w:szCs w:val="3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8"/>
    <w:next w:val="1"/>
    <w:link w:val="47"/>
    <w:qFormat/>
    <w:uiPriority w:val="0"/>
    <w:pPr>
      <w:jc w:val="both"/>
    </w:pPr>
  </w:style>
  <w:style w:type="paragraph" w:customStyle="1" w:styleId="18">
    <w:name w:val="学习材料标题样式一"/>
    <w:basedOn w:val="2"/>
    <w:link w:val="31"/>
    <w:qFormat/>
    <w:uiPriority w:val="0"/>
    <w:pPr>
      <w:spacing w:afterLines="50"/>
    </w:pPr>
    <w:rPr>
      <w:rFonts w:ascii="黑体" w:hAnsi="黑体" w:eastAsia="黑体"/>
      <w:szCs w:val="36"/>
    </w:r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qFormat/>
    <w:uiPriority w:val="0"/>
    <w:rPr>
      <w:vanish/>
      <w:color w:val="005C81"/>
      <w:u w:val="none"/>
    </w:rPr>
  </w:style>
  <w:style w:type="character" w:styleId="23">
    <w:name w:val="Emphasis"/>
    <w:basedOn w:val="19"/>
    <w:qFormat/>
    <w:uiPriority w:val="0"/>
  </w:style>
  <w:style w:type="character" w:styleId="24">
    <w:name w:val="Hyperlink"/>
    <w:basedOn w:val="19"/>
    <w:qFormat/>
    <w:uiPriority w:val="99"/>
    <w:rPr>
      <w:color w:val="auto"/>
      <w:u w:val="none"/>
    </w:rPr>
  </w:style>
  <w:style w:type="paragraph" w:customStyle="1" w:styleId="26">
    <w:name w:val="学习材料标题样式三"/>
    <w:basedOn w:val="5"/>
    <w:link w:val="32"/>
    <w:qFormat/>
    <w:uiPriority w:val="0"/>
    <w:pPr>
      <w:spacing w:before="120" w:after="120" w:line="240" w:lineRule="auto"/>
      <w:jc w:val="center"/>
    </w:pPr>
    <w:rPr>
      <w:rFonts w:ascii="方正小标宋简体" w:eastAsia="方正小标宋简体"/>
      <w:b w:val="0"/>
      <w:sz w:val="30"/>
      <w:szCs w:val="30"/>
    </w:rPr>
  </w:style>
  <w:style w:type="paragraph" w:customStyle="1" w:styleId="27">
    <w:name w:val="样式 经典楷体简 28 磅 加粗 居中 段后: 7.8 磅"/>
    <w:basedOn w:val="1"/>
    <w:qFormat/>
    <w:uiPriority w:val="0"/>
    <w:pPr>
      <w:spacing w:after="156"/>
      <w:jc w:val="center"/>
    </w:pPr>
    <w:rPr>
      <w:rFonts w:ascii="经典楷体简" w:hAnsi="宋体" w:eastAsia="楷体_GB2312" w:cs="宋体"/>
      <w:b/>
      <w:bCs/>
      <w:sz w:val="56"/>
      <w:szCs w:val="20"/>
    </w:rPr>
  </w:style>
  <w:style w:type="paragraph" w:customStyle="1" w:styleId="28">
    <w:name w:val="样式 宋体 三号 加粗 段后: 7.8 磅"/>
    <w:basedOn w:val="1"/>
    <w:qFormat/>
    <w:uiPriority w:val="0"/>
    <w:pPr>
      <w:spacing w:after="156"/>
    </w:pPr>
    <w:rPr>
      <w:rFonts w:ascii="宋体" w:hAnsi="宋体" w:eastAsia="仿宋_GB2312" w:cs="宋体"/>
      <w:b/>
      <w:bCs/>
      <w:sz w:val="32"/>
      <w:szCs w:val="20"/>
    </w:rPr>
  </w:style>
  <w:style w:type="character" w:customStyle="1" w:styleId="29">
    <w:name w:val="标题 1 Char"/>
    <w:basedOn w:val="19"/>
    <w:link w:val="2"/>
    <w:qFormat/>
    <w:uiPriority w:val="0"/>
    <w:rPr>
      <w:rFonts w:ascii="方正小标宋简体" w:eastAsia="方正小标宋简体" w:cs="Tahoma"/>
      <w:b/>
      <w:bCs/>
      <w:spacing w:val="-4"/>
      <w:sz w:val="32"/>
      <w:szCs w:val="32"/>
    </w:rPr>
  </w:style>
  <w:style w:type="character" w:customStyle="1" w:styleId="30">
    <w:name w:val="学习材料标题样式二 Char"/>
    <w:basedOn w:val="19"/>
    <w:link w:val="3"/>
    <w:qFormat/>
    <w:uiPriority w:val="0"/>
    <w:rPr>
      <w:rFonts w:ascii="方正小标宋简体" w:eastAsia="方正小标宋简体" w:cs="Tahoma"/>
      <w:b/>
      <w:bCs/>
      <w:spacing w:val="-4"/>
      <w:sz w:val="32"/>
      <w:szCs w:val="32"/>
    </w:rPr>
  </w:style>
  <w:style w:type="character" w:customStyle="1" w:styleId="31">
    <w:name w:val="学习材料标题样式一 Char"/>
    <w:basedOn w:val="29"/>
    <w:link w:val="18"/>
    <w:qFormat/>
    <w:uiPriority w:val="0"/>
    <w:rPr>
      <w:rFonts w:ascii="黑体" w:hAnsi="黑体" w:eastAsia="黑体"/>
      <w:sz w:val="32"/>
      <w:szCs w:val="36"/>
    </w:rPr>
  </w:style>
  <w:style w:type="character" w:customStyle="1" w:styleId="32">
    <w:name w:val="学习材料标题样式三 Char"/>
    <w:basedOn w:val="19"/>
    <w:link w:val="26"/>
    <w:qFormat/>
    <w:uiPriority w:val="0"/>
    <w:rPr>
      <w:rFonts w:ascii="方正小标宋简体" w:eastAsia="方正小标宋简体"/>
      <w:bCs/>
      <w:kern w:val="2"/>
      <w:sz w:val="30"/>
      <w:szCs w:val="30"/>
      <w:lang w:eastAsia="zh-CN" w:bidi="ar-SA"/>
    </w:rPr>
  </w:style>
  <w:style w:type="paragraph" w:customStyle="1" w:styleId="33">
    <w:name w:val="tc"/>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
    <w:name w:val="style3"/>
    <w:basedOn w:val="1"/>
    <w:qFormat/>
    <w:uiPriority w:val="0"/>
    <w:pPr>
      <w:widowControl/>
      <w:spacing w:before="100" w:beforeAutospacing="1" w:after="100" w:afterAutospacing="1"/>
      <w:jc w:val="left"/>
    </w:pPr>
    <w:rPr>
      <w:rFonts w:ascii="新宋体" w:hAnsi="新宋体" w:eastAsia="新宋体" w:cs="宋体"/>
      <w:color w:val="000000"/>
      <w:kern w:val="0"/>
      <w:sz w:val="19"/>
      <w:szCs w:val="19"/>
    </w:rPr>
  </w:style>
  <w:style w:type="character" w:customStyle="1" w:styleId="35">
    <w:name w:val="lemmatitleh11"/>
    <w:basedOn w:val="19"/>
    <w:qFormat/>
    <w:uiPriority w:val="0"/>
  </w:style>
  <w:style w:type="paragraph" w:customStyle="1" w:styleId="36">
    <w:name w:val="custom_unionstyle"/>
    <w:basedOn w:val="1"/>
    <w:qFormat/>
    <w:uiPriority w:val="0"/>
    <w:pPr>
      <w:widowControl/>
      <w:spacing w:before="100" w:beforeAutospacing="1" w:after="100" w:afterAutospacing="1"/>
      <w:jc w:val="left"/>
    </w:pPr>
    <w:rPr>
      <w:rFonts w:ascii="宋体" w:hAnsi="宋体" w:cs="宋体"/>
      <w:kern w:val="0"/>
      <w:sz w:val="24"/>
    </w:rPr>
  </w:style>
  <w:style w:type="character" w:customStyle="1" w:styleId="37">
    <w:name w:val="apple-converted-space"/>
    <w:basedOn w:val="19"/>
    <w:qFormat/>
    <w:uiPriority w:val="0"/>
  </w:style>
  <w:style w:type="paragraph" w:customStyle="1" w:styleId="38">
    <w:name w:val="Char"/>
    <w:basedOn w:val="1"/>
    <w:qFormat/>
    <w:uiPriority w:val="0"/>
    <w:pPr>
      <w:spacing w:after="160" w:line="360" w:lineRule="auto"/>
    </w:pPr>
    <w:rPr>
      <w:szCs w:val="20"/>
    </w:rPr>
  </w:style>
  <w:style w:type="character" w:customStyle="1" w:styleId="39">
    <w:name w:val="date"/>
    <w:basedOn w:val="19"/>
    <w:qFormat/>
    <w:uiPriority w:val="0"/>
  </w:style>
  <w:style w:type="paragraph" w:customStyle="1" w:styleId="40">
    <w:name w:val="b-free-read-leaf"/>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sub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author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introtitle text-cen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sec"/>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copy-c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6">
    <w:name w:val="不明显参考1"/>
    <w:basedOn w:val="19"/>
    <w:qFormat/>
    <w:uiPriority w:val="31"/>
    <w:rPr>
      <w:smallCaps/>
      <w:color w:val="C0504D"/>
      <w:u w:val="single"/>
    </w:rPr>
  </w:style>
  <w:style w:type="character" w:customStyle="1" w:styleId="47">
    <w:name w:val="标题 Char"/>
    <w:basedOn w:val="19"/>
    <w:link w:val="17"/>
    <w:qFormat/>
    <w:uiPriority w:val="0"/>
    <w:rPr>
      <w:rFonts w:ascii="黑体" w:hAnsi="黑体" w:eastAsia="黑体" w:cs="Tahoma"/>
      <w:b/>
      <w:bCs/>
      <w:spacing w:val="-4"/>
      <w:sz w:val="32"/>
      <w:szCs w:val="36"/>
    </w:rPr>
  </w:style>
  <w:style w:type="paragraph" w:customStyle="1" w:styleId="48">
    <w:name w:val="中标题"/>
    <w:basedOn w:val="3"/>
    <w:link w:val="49"/>
    <w:qFormat/>
    <w:uiPriority w:val="0"/>
  </w:style>
  <w:style w:type="character" w:customStyle="1" w:styleId="49">
    <w:name w:val="中标题 Char"/>
    <w:basedOn w:val="29"/>
    <w:link w:val="48"/>
    <w:qFormat/>
    <w:uiPriority w:val="0"/>
  </w:style>
  <w:style w:type="character" w:customStyle="1" w:styleId="50">
    <w:name w:val="副标题 Char"/>
    <w:basedOn w:val="19"/>
    <w:link w:val="14"/>
    <w:qFormat/>
    <w:uiPriority w:val="0"/>
    <w:rPr>
      <w:rFonts w:ascii="楷体" w:hAnsi="楷体" w:eastAsia="楷体"/>
      <w:b/>
      <w:kern w:val="2"/>
      <w:sz w:val="28"/>
      <w:szCs w:val="24"/>
    </w:rPr>
  </w:style>
  <w:style w:type="character" w:customStyle="1" w:styleId="51">
    <w:name w:val="页脚 Char"/>
    <w:basedOn w:val="19"/>
    <w:link w:val="11"/>
    <w:qFormat/>
    <w:uiPriority w:val="99"/>
    <w:rPr>
      <w:kern w:val="2"/>
      <w:sz w:val="18"/>
      <w:szCs w:val="18"/>
    </w:rPr>
  </w:style>
  <w:style w:type="paragraph" w:customStyle="1" w:styleId="52">
    <w:name w:val="副标题楷体"/>
    <w:basedOn w:val="14"/>
    <w:link w:val="53"/>
    <w:qFormat/>
    <w:uiPriority w:val="0"/>
    <w:pPr>
      <w:spacing w:before="156" w:after="156"/>
    </w:pPr>
    <w:rPr>
      <w:b w:val="0"/>
      <w:sz w:val="24"/>
    </w:rPr>
  </w:style>
  <w:style w:type="character" w:customStyle="1" w:styleId="53">
    <w:name w:val="副标题楷体 Char"/>
    <w:basedOn w:val="50"/>
    <w:link w:val="52"/>
    <w:qFormat/>
    <w:uiPriority w:val="0"/>
    <w:rPr>
      <w:sz w:val="24"/>
    </w:rPr>
  </w:style>
  <w:style w:type="paragraph" w:customStyle="1" w:styleId="54">
    <w:name w:val="sub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55">
    <w:name w:val="明显强调1"/>
    <w:basedOn w:val="19"/>
    <w:qFormat/>
    <w:uiPriority w:val="21"/>
    <w:rPr>
      <w:b/>
      <w:bCs/>
      <w:i/>
      <w:iCs/>
      <w:color w:val="4F81BD" w:themeColor="accent1"/>
      <w14:textFill>
        <w14:solidFill>
          <w14:schemeClr w14:val="accent1"/>
        </w14:solidFill>
      </w14:textFill>
    </w:rPr>
  </w:style>
  <w:style w:type="character" w:customStyle="1" w:styleId="56">
    <w:name w:val="bjh-p"/>
    <w:basedOn w:val="19"/>
    <w:qFormat/>
    <w:uiPriority w:val="0"/>
  </w:style>
  <w:style w:type="character" w:customStyle="1" w:styleId="57">
    <w:name w:val="ariaskiptheme"/>
    <w:basedOn w:val="19"/>
    <w:qFormat/>
    <w:uiPriority w:val="0"/>
  </w:style>
  <w:style w:type="character" w:customStyle="1" w:styleId="58">
    <w:name w:val="不明显参考2"/>
    <w:basedOn w:val="19"/>
    <w:qFormat/>
    <w:uiPriority w:val="31"/>
    <w:rPr>
      <w:smallCaps/>
      <w:color w:val="C0504D" w:themeColor="accent2"/>
      <w:u w:val="single"/>
      <w14:textFill>
        <w14:solidFill>
          <w14:schemeClr w14:val="accent2"/>
        </w14:solidFill>
      </w14:textFill>
    </w:rPr>
  </w:style>
  <w:style w:type="paragraph" w:customStyle="1" w:styleId="5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spacing w:val="0"/>
      <w:sz w:val="28"/>
      <w:szCs w:val="28"/>
    </w:rPr>
  </w:style>
  <w:style w:type="paragraph" w:customStyle="1" w:styleId="60">
    <w:name w:val="introtitle"/>
    <w:basedOn w:val="1"/>
    <w:qFormat/>
    <w:uiPriority w:val="0"/>
    <w:pPr>
      <w:widowControl/>
      <w:spacing w:before="100" w:beforeAutospacing="1" w:after="100" w:afterAutospacing="1"/>
      <w:ind w:firstLine="0" w:firstLineChars="0"/>
      <w:jc w:val="left"/>
    </w:pPr>
    <w:rPr>
      <w:rFonts w:ascii="宋体" w:hAnsi="宋体" w:cs="宋体"/>
      <w:kern w:val="0"/>
      <w:sz w:val="24"/>
    </w:rPr>
  </w:style>
  <w:style w:type="paragraph" w:customStyle="1" w:styleId="61">
    <w:name w:val="author"/>
    <w:basedOn w:val="1"/>
    <w:qFormat/>
    <w:uiPriority w:val="0"/>
    <w:pPr>
      <w:widowControl/>
      <w:spacing w:before="100" w:beforeAutospacing="1" w:after="100" w:afterAutospacing="1"/>
      <w:ind w:firstLine="0" w:firstLineChars="0"/>
      <w:jc w:val="left"/>
    </w:pPr>
    <w:rPr>
      <w:rFonts w:ascii="宋体" w:hAnsi="宋体" w:cs="宋体"/>
      <w:kern w:val="0"/>
      <w:sz w:val="24"/>
    </w:rPr>
  </w:style>
  <w:style w:type="character" w:customStyle="1" w:styleId="62">
    <w:name w:val="newstime"/>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C7D4A-5C30-4EBC-9323-1D6E5C9A04C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6405</Words>
  <Characters>36509</Characters>
  <Lines>304</Lines>
  <Paragraphs>85</Paragraphs>
  <TotalTime>0</TotalTime>
  <ScaleCrop>false</ScaleCrop>
  <LinksUpToDate>false</LinksUpToDate>
  <CharactersWithSpaces>42829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2025-08-01T01:05:00Z</dcterms:created>
  <dc:creator>lenovo</dc:creator>
  <cp:lastModifiedBy>Administrator</cp:lastModifiedBy>
  <cp:lastPrinted>2025-11-04T03:25:00Z</cp:lastPrinted>
  <dcterms:modified xsi:type="dcterms:W3CDTF">2025-12-15T00:55:47Z</dcterms:modified>
  <dc:title>泉州市机关党员教育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FFBCECFD163D43B5BF30DBA27D8013A0_12</vt:lpwstr>
  </property>
</Properties>
</file>