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spacing w:after="0"/>
        <w:ind w:firstLine="0" w:firstLineChars="0"/>
        <w:rPr>
          <w:rFonts w:ascii="宋体" w:eastAsia="宋体"/>
          <w:color w:val="FF0000"/>
        </w:rPr>
      </w:pPr>
      <w:bookmarkStart w:id="0" w:name="_Toc190748406"/>
      <w:bookmarkStart w:id="1" w:name="_Toc230409460"/>
      <w:bookmarkStart w:id="2" w:name="_Toc190748609"/>
      <w:bookmarkStart w:id="3" w:name="_Toc190832169"/>
      <w:bookmarkStart w:id="4" w:name="_Toc190832283"/>
      <w:bookmarkStart w:id="5" w:name="_Toc190826338"/>
      <w:bookmarkStart w:id="6" w:name="_Toc192928321"/>
      <w:bookmarkStart w:id="7" w:name="_Toc192911292"/>
      <w:bookmarkStart w:id="8" w:name="_Toc192911396"/>
      <w:bookmarkStart w:id="9" w:name="_Toc190831869"/>
      <w:bookmarkStart w:id="10" w:name="_Toc190748407"/>
      <w:bookmarkStart w:id="11" w:name="_Toc230430866"/>
      <w:bookmarkStart w:id="12" w:name="_Toc194985091"/>
      <w:bookmarkStart w:id="13" w:name="_Toc190749700"/>
      <w:r>
        <w:rPr>
          <w:rFonts w:hint="eastAsia" w:ascii="宋体" w:eastAsia="宋体"/>
          <w:color w:val="FF0000"/>
        </w:rPr>
        <w:t>泉州市机关党员教育</w:t>
      </w:r>
    </w:p>
    <w:p>
      <w:pPr>
        <w:ind w:firstLine="0" w:firstLineChars="0"/>
        <w:jc w:val="center"/>
        <w:rPr>
          <w:rStyle w:val="29"/>
        </w:rPr>
      </w:pPr>
      <w:r>
        <w:rPr>
          <w:rFonts w:hint="eastAsia" w:ascii="华文新魏" w:eastAsia="华文新魏"/>
          <w:b/>
          <w:color w:val="FF0000"/>
          <w:w w:val="90"/>
          <w:sz w:val="144"/>
          <w:szCs w:val="144"/>
        </w:rPr>
        <w:t>学 习 材 料</w:t>
      </w:r>
    </w:p>
    <w:p>
      <w:pPr>
        <w:spacing w:afterLines="50"/>
        <w:ind w:right="108" w:firstLine="640"/>
        <w:jc w:val="center"/>
        <w:rPr>
          <w:rFonts w:ascii="楷体_GB2312" w:eastAsia="楷体_GB2312"/>
          <w:sz w:val="32"/>
          <w:szCs w:val="32"/>
        </w:rPr>
      </w:pPr>
      <w:r>
        <w:rPr>
          <w:rFonts w:hint="eastAsia" w:ascii="楷体_GB2312" w:eastAsia="楷体_GB2312"/>
          <w:sz w:val="32"/>
          <w:szCs w:val="32"/>
        </w:rPr>
        <w:t>202</w:t>
      </w:r>
      <w:r>
        <w:rPr>
          <w:rFonts w:hint="eastAsia" w:ascii="楷体_GB2312" w:eastAsia="楷体_GB2312"/>
          <w:sz w:val="32"/>
          <w:szCs w:val="32"/>
          <w:lang w:val="en-US" w:eastAsia="zh-CN"/>
        </w:rPr>
        <w:t>6</w:t>
      </w:r>
      <w:r>
        <w:rPr>
          <w:rFonts w:hint="eastAsia" w:ascii="楷体_GB2312" w:eastAsia="楷体_GB2312"/>
          <w:sz w:val="32"/>
          <w:szCs w:val="32"/>
        </w:rPr>
        <w:t>年第</w:t>
      </w:r>
      <w:r>
        <w:rPr>
          <w:rFonts w:hint="eastAsia" w:ascii="楷体_GB2312" w:eastAsia="楷体_GB2312"/>
          <w:sz w:val="32"/>
          <w:szCs w:val="32"/>
          <w:lang w:val="en-US" w:eastAsia="zh-CN"/>
        </w:rPr>
        <w:t>1</w:t>
      </w:r>
      <w:r>
        <w:rPr>
          <w:rFonts w:hint="eastAsia" w:ascii="楷体_GB2312" w:eastAsia="楷体_GB2312"/>
          <w:sz w:val="32"/>
          <w:szCs w:val="32"/>
        </w:rPr>
        <w:t>期（总21</w:t>
      </w:r>
      <w:r>
        <w:rPr>
          <w:rFonts w:hint="eastAsia" w:ascii="楷体_GB2312" w:eastAsia="楷体_GB2312"/>
          <w:sz w:val="32"/>
          <w:szCs w:val="32"/>
          <w:lang w:val="en-US" w:eastAsia="zh-CN"/>
        </w:rPr>
        <w:t>7</w:t>
      </w:r>
      <w:r>
        <w:rPr>
          <w:rFonts w:hint="eastAsia" w:ascii="楷体_GB2312" w:eastAsia="楷体_GB2312"/>
          <w:sz w:val="32"/>
          <w:szCs w:val="32"/>
        </w:rPr>
        <w:t>期）</w:t>
      </w:r>
    </w:p>
    <w:p>
      <w:pPr>
        <w:pStyle w:val="28"/>
        <w:spacing w:after="100" w:afterAutospacing="1"/>
        <w:ind w:firstLine="0" w:firstLineChars="0"/>
        <w:rPr>
          <w:b w:val="0"/>
        </w:rPr>
      </w:pPr>
      <w: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383540</wp:posOffset>
                </wp:positionV>
                <wp:extent cx="5479415" cy="135255"/>
                <wp:effectExtent l="4445" t="4445" r="21590" b="12700"/>
                <wp:wrapNone/>
                <wp:docPr id="1" name="矩形 16"/>
                <wp:cNvGraphicFramePr/>
                <a:graphic xmlns:a="http://schemas.openxmlformats.org/drawingml/2006/main">
                  <a:graphicData uri="http://schemas.microsoft.com/office/word/2010/wordprocessingShape">
                    <wps:wsp>
                      <wps:cNvSpPr/>
                      <wps:spPr>
                        <a:xfrm>
                          <a:off x="0" y="0"/>
                          <a:ext cx="5479415" cy="135255"/>
                        </a:xfrm>
                        <a:prstGeom prst="rect">
                          <a:avLst/>
                        </a:prstGeom>
                        <a:solidFill>
                          <a:srgbClr val="FF0000"/>
                        </a:solidFill>
                        <a:ln w="9525" cap="flat" cmpd="sng">
                          <a:solidFill>
                            <a:srgbClr val="FF0000"/>
                          </a:solidFill>
                          <a:prstDash val="solid"/>
                          <a:miter/>
                          <a:headEnd type="none" w="med" len="med"/>
                          <a:tailEnd type="none" w="med" len="med"/>
                        </a:ln>
                        <a:effectLst/>
                      </wps:spPr>
                      <wps:bodyPr upright="1"/>
                    </wps:wsp>
                  </a:graphicData>
                </a:graphic>
              </wp:anchor>
            </w:drawing>
          </mc:Choice>
          <mc:Fallback>
            <w:pict>
              <v:rect id="矩形 16" o:spid="_x0000_s1026" o:spt="1" style="position:absolute;left:0pt;margin-left:-9pt;margin-top:30.2pt;height:10.65pt;width:431.45pt;z-index:251659264;mso-width-relative:page;mso-height-relative:page;" fillcolor="#FF0000" filled="t" stroked="t" coordsize="21600,21600" o:gfxdata="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3OFx0tsA&#10;AAAJAQAADwAAAAAAAAABACAAAAAiAAAAZHJzL2Rvd25yZXYueG1sUEsBAhQAFAAAAAgAh07iQP+E&#10;C6jjAQAA3wMAAA4AAAAAAAAAAQAgAAAAKgEAAGRycy9lMm9Eb2MueG1sUEsFBgAAAAAGAAYAWQEA&#10;AH8FAAAAAA==&#10;">
                <v:fill on="t" focussize="0,0"/>
                <v:stroke color="#FF0000" joinstyle="miter"/>
                <v:imagedata o:title=""/>
                <o:lock v:ext="edit" aspectratio="f"/>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416560</wp:posOffset>
                </wp:positionV>
                <wp:extent cx="5486400" cy="102235"/>
                <wp:effectExtent l="4445" t="4445" r="14605" b="7620"/>
                <wp:wrapNone/>
                <wp:docPr id="2" name="矩形 17"/>
                <wp:cNvGraphicFramePr/>
                <a:graphic xmlns:a="http://schemas.openxmlformats.org/drawingml/2006/main">
                  <a:graphicData uri="http://schemas.microsoft.com/office/word/2010/wordprocessingShape">
                    <wps:wsp>
                      <wps:cNvSpPr/>
                      <wps:spPr>
                        <a:xfrm>
                          <a:off x="0" y="0"/>
                          <a:ext cx="5486400" cy="102235"/>
                        </a:xfrm>
                        <a:prstGeom prst="rect">
                          <a:avLst/>
                        </a:prstGeom>
                        <a:solidFill>
                          <a:srgbClr val="FFFFFF"/>
                        </a:solidFill>
                        <a:ln w="9525" cap="flat" cmpd="sng">
                          <a:solidFill>
                            <a:srgbClr val="FFFFFF"/>
                          </a:solidFill>
                          <a:prstDash val="solid"/>
                          <a:miter/>
                          <a:headEnd type="none" w="med" len="med"/>
                          <a:tailEnd type="none" w="med" len="med"/>
                        </a:ln>
                        <a:effectLst/>
                      </wps:spPr>
                      <wps:bodyPr upright="1"/>
                    </wps:wsp>
                  </a:graphicData>
                </a:graphic>
              </wp:anchor>
            </w:drawing>
          </mc:Choice>
          <mc:Fallback>
            <w:pict>
              <v:rect id="矩形 17" o:spid="_x0000_s1026" o:spt="1" style="position:absolute;left:0pt;margin-left:-9pt;margin-top:32.8pt;height:8.05pt;width:432pt;z-index:251660288;mso-width-relative:page;mso-height-relative:page;" fillcolor="#FFFFFF" filled="t" stroked="t" coordsize="21600,21600" o:gfxdata="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yaAxbXAAAACQEA&#10;AA8AAAAAAAAAAQAgAAAAIgAAAGRycy9kb3ducmV2LnhtbFBLAQIUABQAAAAIAIdO4kBp7MSK4gEA&#10;AN8DAAAOAAAAAAAAAAEAIAAAACYBAABkcnMvZTJvRG9jLnhtbFBLBQYAAAAABgAGAFkBAAB6BQAA&#10;AAA=&#10;">
                <v:fill on="t" focussize="0,0"/>
                <v:stroke color="#FFFFFF" joinstyle="miter"/>
                <v:imagedata o:title=""/>
                <o:lock v:ext="edit" aspectratio="f"/>
              </v:rect>
            </w:pict>
          </mc:Fallback>
        </mc:AlternateContent>
      </w:r>
      <w:r>
        <w:rPr>
          <w:rFonts w:hint="eastAsia"/>
        </w:rPr>
        <w:t>中共泉州市委市直机关工作委员会           202</w:t>
      </w:r>
      <w:r>
        <w:rPr>
          <w:rFonts w:hint="eastAsia"/>
          <w:lang w:val="en-US" w:eastAsia="zh-CN"/>
        </w:rPr>
        <w:t>6</w:t>
      </w:r>
      <w:r>
        <w:rPr>
          <w:rFonts w:hint="eastAsia"/>
        </w:rPr>
        <w:t>年</w:t>
      </w:r>
      <w:r>
        <w:rPr>
          <w:rFonts w:hint="eastAsia"/>
          <w:lang w:val="en-US" w:eastAsia="zh-CN"/>
        </w:rPr>
        <w:t>1</w:t>
      </w:r>
      <w:r>
        <w:rPr>
          <w:rFonts w:hint="eastAsia"/>
        </w:rPr>
        <w:t>月</w:t>
      </w:r>
    </w:p>
    <w:p>
      <w:pPr>
        <w:pStyle w:val="13"/>
        <w:ind w:firstLine="0" w:firstLineChars="0"/>
        <w:jc w:val="center"/>
      </w:pPr>
      <w:r>
        <w:rPr>
          <w:rFonts w:hint="eastAsia"/>
        </w:rPr>
        <w:t>目  录</w:t>
      </w:r>
      <w:bookmarkEnd w:id="0"/>
    </w:p>
    <w:p>
      <w:pPr>
        <w:pStyle w:val="15"/>
        <w:ind w:left="565" w:leftChars="257" w:firstLine="0" w:firstLineChars="0"/>
        <w:jc w:val="left"/>
        <w:rPr>
          <w:rStyle w:val="24"/>
          <w:rFonts w:hint="eastAsia"/>
          <w:lang w:val="en-US" w:eastAsia="zh-CN"/>
        </w:rPr>
      </w:pPr>
      <w:r>
        <w:rPr>
          <w:rStyle w:val="24"/>
          <w:rFonts w:hint="eastAsia"/>
          <w:lang w:val="en-US" w:eastAsia="zh-CN"/>
        </w:rPr>
        <w:t>国家主席习近平发表二〇二六年新年贺词</w:t>
      </w:r>
    </w:p>
    <w:p>
      <w:pPr>
        <w:pStyle w:val="15"/>
        <w:ind w:left="565" w:leftChars="257" w:firstLine="0" w:firstLineChars="0"/>
        <w:jc w:val="left"/>
        <w:rPr>
          <w:rStyle w:val="24"/>
          <w:rFonts w:hint="eastAsia"/>
          <w:lang w:val="en-US" w:eastAsia="zh-CN"/>
        </w:rPr>
      </w:pPr>
      <w:r>
        <w:rPr>
          <w:rStyle w:val="24"/>
          <w:rFonts w:hint="eastAsia"/>
          <w:lang w:val="en-US" w:eastAsia="zh-CN"/>
        </w:rPr>
        <w:t>中共中央政治局召开会议 研究部署党风廉政建设和反腐败工作 中共中央总书记习近平主持会议</w:t>
      </w:r>
    </w:p>
    <w:p>
      <w:pPr>
        <w:pStyle w:val="15"/>
        <w:ind w:left="565" w:leftChars="257" w:firstLine="0" w:firstLineChars="0"/>
        <w:jc w:val="left"/>
        <w:rPr>
          <w:rStyle w:val="24"/>
          <w:rFonts w:hint="eastAsia"/>
          <w:sz w:val="24"/>
          <w:szCs w:val="28"/>
          <w:lang w:val="en-US" w:eastAsia="zh-CN"/>
        </w:rPr>
      </w:pPr>
      <w:r>
        <w:rPr>
          <w:rStyle w:val="24"/>
          <w:rFonts w:hint="eastAsia"/>
          <w:sz w:val="24"/>
          <w:szCs w:val="28"/>
          <w:lang w:val="en-US" w:eastAsia="zh-CN"/>
        </w:rPr>
        <w:t>全国宣传部长会议在京召开 蔡奇出席并讲话</w:t>
      </w:r>
    </w:p>
    <w:p>
      <w:pPr>
        <w:pStyle w:val="15"/>
        <w:ind w:left="565" w:leftChars="257" w:firstLine="0" w:firstLineChars="0"/>
        <w:jc w:val="left"/>
        <w:rPr>
          <w:rStyle w:val="24"/>
          <w:rFonts w:hint="eastAsia"/>
          <w:sz w:val="24"/>
          <w:szCs w:val="28"/>
          <w:lang w:val="en-US" w:eastAsia="zh-CN"/>
        </w:rPr>
      </w:pPr>
      <w:r>
        <w:rPr>
          <w:rStyle w:val="24"/>
          <w:rFonts w:hint="eastAsia"/>
          <w:sz w:val="24"/>
          <w:szCs w:val="28"/>
          <w:lang w:val="en-US" w:eastAsia="zh-CN"/>
        </w:rPr>
        <w:t>《福建省贯彻〈党政机关厉行节约反对浪费条例〉实施细则》印发</w:t>
      </w:r>
    </w:p>
    <w:p>
      <w:pPr>
        <w:pStyle w:val="15"/>
        <w:ind w:left="565" w:leftChars="257" w:firstLine="0" w:firstLineChars="0"/>
        <w:jc w:val="left"/>
        <w:rPr>
          <w:rStyle w:val="24"/>
          <w:rFonts w:hint="eastAsia"/>
          <w:lang w:val="en-US" w:eastAsia="zh-CN"/>
        </w:rPr>
      </w:pPr>
      <w:r>
        <w:rPr>
          <w:rStyle w:val="24"/>
          <w:rFonts w:hint="eastAsia"/>
          <w:lang w:val="en-US" w:eastAsia="zh-CN"/>
        </w:rPr>
        <w:t>省委经济工作会议在榕召开</w:t>
      </w:r>
    </w:p>
    <w:p>
      <w:pPr>
        <w:pStyle w:val="15"/>
        <w:ind w:left="565" w:leftChars="257" w:firstLine="0" w:firstLineChars="0"/>
        <w:jc w:val="left"/>
        <w:rPr>
          <w:rStyle w:val="24"/>
          <w:rFonts w:hint="eastAsia"/>
          <w:sz w:val="24"/>
          <w:szCs w:val="28"/>
          <w:lang w:val="en-US" w:eastAsia="zh-CN"/>
        </w:rPr>
      </w:pPr>
      <w:r>
        <w:rPr>
          <w:rStyle w:val="24"/>
          <w:rFonts w:hint="eastAsia"/>
          <w:sz w:val="24"/>
          <w:szCs w:val="28"/>
          <w:lang w:val="en-US" w:eastAsia="zh-CN"/>
        </w:rPr>
        <w:t>市委经济工作会议召开</w:t>
      </w:r>
    </w:p>
    <w:p>
      <w:pPr>
        <w:pStyle w:val="15"/>
        <w:ind w:left="565" w:leftChars="257" w:firstLine="0" w:firstLineChars="0"/>
        <w:jc w:val="left"/>
        <w:rPr>
          <w:rStyle w:val="24"/>
          <w:rFonts w:hint="eastAsia"/>
          <w:sz w:val="24"/>
          <w:szCs w:val="28"/>
          <w:lang w:val="en-US" w:eastAsia="zh-CN"/>
        </w:rPr>
      </w:pPr>
      <w:r>
        <w:rPr>
          <w:rStyle w:val="24"/>
          <w:rFonts w:hint="eastAsia"/>
          <w:sz w:val="24"/>
          <w:szCs w:val="28"/>
          <w:lang w:val="en-US" w:eastAsia="zh-CN"/>
        </w:rPr>
        <w:t>市政协十三届五次会议隆重开幕</w:t>
      </w:r>
    </w:p>
    <w:p>
      <w:pPr>
        <w:pStyle w:val="15"/>
        <w:ind w:left="565" w:leftChars="257" w:firstLine="0" w:firstLineChars="0"/>
        <w:jc w:val="left"/>
        <w:rPr>
          <w:rStyle w:val="24"/>
          <w:rFonts w:hint="eastAsia"/>
          <w:sz w:val="24"/>
          <w:szCs w:val="28"/>
          <w:lang w:val="en-US" w:eastAsia="zh-CN"/>
        </w:rPr>
      </w:pPr>
      <w:r>
        <w:rPr>
          <w:rStyle w:val="24"/>
          <w:rFonts w:hint="eastAsia"/>
          <w:sz w:val="24"/>
          <w:szCs w:val="28"/>
          <w:lang w:val="en-US" w:eastAsia="zh-CN"/>
        </w:rPr>
        <w:t>市十七届人大五次会议开幕</w:t>
      </w:r>
    </w:p>
    <w:p>
      <w:pPr>
        <w:pStyle w:val="15"/>
        <w:ind w:left="565" w:leftChars="257" w:firstLine="0" w:firstLineChars="0"/>
        <w:jc w:val="left"/>
        <w:rPr>
          <w:rStyle w:val="24"/>
          <w:rFonts w:hint="eastAsia"/>
          <w:sz w:val="24"/>
          <w:szCs w:val="28"/>
          <w:lang w:val="en-US" w:eastAsia="zh-CN"/>
        </w:rPr>
      </w:pPr>
    </w:p>
    <w:p>
      <w:pPr>
        <w:rPr>
          <w:rFonts w:hint="eastAsia"/>
          <w:lang w:val="en-US" w:eastAsia="zh-CN"/>
        </w:rPr>
      </w:pPr>
    </w:p>
    <w:p>
      <w:pPr>
        <w:rPr>
          <w:rFonts w:hint="eastAsia" w:eastAsia="宋体"/>
          <w:lang w:val="en-US" w:eastAsia="zh-CN"/>
        </w:rPr>
      </w:pPr>
    </w:p>
    <w:bookmarkEnd w:id="1"/>
    <w:bookmarkEnd w:id="2"/>
    <w:bookmarkEnd w:id="3"/>
    <w:bookmarkEnd w:id="4"/>
    <w:bookmarkEnd w:id="5"/>
    <w:bookmarkEnd w:id="6"/>
    <w:bookmarkEnd w:id="7"/>
    <w:bookmarkEnd w:id="8"/>
    <w:bookmarkEnd w:id="9"/>
    <w:bookmarkEnd w:id="10"/>
    <w:bookmarkEnd w:id="11"/>
    <w:bookmarkEnd w:id="12"/>
    <w:bookmarkEnd w:id="13"/>
    <w:p>
      <w:pPr>
        <w:pStyle w:val="15"/>
        <w:ind w:left="565" w:leftChars="257" w:firstLine="0" w:firstLineChars="0"/>
        <w:jc w:val="left"/>
        <w:rPr>
          <w:rStyle w:val="24"/>
          <w:rFonts w:hint="eastAsia"/>
          <w:lang w:val="en-US" w:eastAsia="zh-CN"/>
        </w:rPr>
      </w:pPr>
    </w:p>
    <w:p>
      <w:pPr>
        <w:pStyle w:val="15"/>
        <w:ind w:left="565" w:leftChars="257" w:firstLine="0" w:firstLineChars="0"/>
        <w:jc w:val="left"/>
      </w:pPr>
      <w:r>
        <w:t xml:space="preserve"> </w:t>
      </w:r>
    </w:p>
    <w:p/>
    <w:p>
      <w:pPr>
        <w:pStyle w:val="3"/>
      </w:pPr>
      <w:r>
        <w:br w:type="page"/>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微软雅黑" w:hAnsi="微软雅黑" w:eastAsia="微软雅黑" w:cs="微软雅黑"/>
          <w:b/>
          <w:i w:val="0"/>
          <w:caps w:val="0"/>
          <w:spacing w:val="8"/>
          <w:sz w:val="33"/>
          <w:szCs w:val="33"/>
          <w:shd w:val="clear" w:fill="FFFFFF"/>
        </w:rPr>
      </w:pPr>
      <w:r>
        <w:rPr>
          <w:rFonts w:hint="eastAsia" w:ascii="微软雅黑" w:hAnsi="微软雅黑" w:eastAsia="微软雅黑" w:cs="微软雅黑"/>
          <w:b/>
          <w:i w:val="0"/>
          <w:caps w:val="0"/>
          <w:spacing w:val="8"/>
          <w:sz w:val="33"/>
          <w:szCs w:val="33"/>
          <w:shd w:val="clear" w:fill="FFFFFF"/>
        </w:rPr>
        <w:t>国家主席习近平发表二〇二六年新年贺词</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新年前夕，国家主席习近平通过中央广播电视总台和互联网，发表了二〇二六年新年贺词。全文如下：</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大家好！岁序更替，华章日新。在新年到来之际，我在北京向大家致以美好的祝福！</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2025年是“十四五”收官之年。5年来，我们踔厉奋发、勇毅前行，克服重重困难挑战，圆满完成目标任务，在中国式现代化新征程上迈出了稳健步伐。我国经济总量连续跨越新关口，今年预计达到140万亿元，经济实力、科技实力、国防实力、综合国力跃上新台阶，绿水青山成为亮丽底色，人民群众获得感幸福感安全感不断增强。5年历程极不寻常，成绩来之不易。大家拼搏进取、耕耘奉献，铸就了欣欣向荣的中国。我向每一位辛勤付出的奋斗者致敬！</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这一年，令人难忘的是，我们隆重纪念中国人民抗日战争暨世界反法西斯战争胜利80周年，设立台湾光复纪念日。国之盛典威武雄壮，胜利荣光永载史册，激励中华儿女铭记历史、缅怀先烈、珍爱和平、开创未来，凝聚起中华民族伟大复兴的磅礴伟力。</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我们依靠创新为高质量发展赋能。科技与产业深度融合，创新成果竞相涌现，人工智能大模型你追我赶，芯片自主研发有了新突破，我国成为创新力上升最快的经济体之一。天问二号开启“追星”之旅，雅下水电工程开工建设，首艘电磁弹射型航母正式入列。人形机器人亮出“功夫模式”，无人机演绎绚丽“烟花”。创新创造催生了新质生产力，也让生活更加多姿多彩。</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我们以文化滋养精神家园。文博热、非遗热不断升温，世界遗产再添新员，悟空和哪吒风靡全球，古韵国风成为年轻人眼中的“顶流审美”。文旅市场人气火爆，“城超”“村超”热闹非凡，冰雪运动点燃冬日激情。传统与现代交融，中华文化绽放更加灿烂的光芒。</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我们共创共享美好生活。我到西藏、新疆出席庆祝活动，从雪域高原到天山南北，各族群众心手相连，像石榴籽一样紧紧抱在一起，大家用洁白的哈达、热情的歌舞，表达对祖国的热爱、对幸福的礼赞。民生无小事，枝叶总关情。过去一年，新就业群体权益有了进一步保障，适老化改造给老年人带来方便，育儿家庭每月多了300元补贴。柴米油盐、三餐四季，每个“小家”热气腾腾，中国这个“大家”就蒸蒸日上。</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我们继续敞开胸怀拥抱世界。上合组织天津峰会、全球妇女峰会成功举办，海南自贸港全岛封关运作。为更好应对气候变化，我国宣布新一轮国家自主贡献。继“三大倡议”之后，我提出全球治理倡议，推动建设更加公正合理的全球治理体系。当今世界变乱交织，一些地区仍被战火笼罩。中国始终站在历史正确一边，愿同各国携手促进世界和平发展，推动构建人类命运共同体。</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前不久，我出席了全运会开幕式，粤港澳三地同心同行，令人欣慰。要坚定不移贯彻“一国两制”方针，支持港澳更好融入国家发展大局，保持长期繁荣稳定。两岸同胞血浓于水，祖国统一的历史大势不可阻挡！</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党兴方能国强。我们开展深入贯彻中央八项规定精神学习教育，徙木立信从严管党治党，去腐生肌推进自我革命，党风政风持续向好。要砥砺初心使命，持之以恒、久久为功，继续回答好延安“窑洞之问”，书写无愧于人民的时代答卷。</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2026年是“十五五”开局之年。锐始者必图其终，成功者先计于始。我们要锚定目标任务，坚定信心、乘势而上，扎实推动高质量发展，进一步全面深化改革开放，推进全体人民共同富裕，续写中国奇迹新篇章。</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山海寻梦，不觉其远；前路迢迢，阔步而行。让我们拿出跃马扬鞭的勇气，激发万马奔腾的活力，保持马不停蹄的干劲，一起为梦想奋斗、为幸福打拼，把宏伟愿景变成美好现实。</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新年的旭日即将升起。祝祖国山河壮丽、大地丰饶，神州沐朝晖！祝大家心有所悦、业有所成，万事皆可期！</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（来源：新华社）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微软雅黑" w:hAnsi="微软雅黑" w:eastAsia="微软雅黑" w:cs="微软雅黑"/>
          <w:b/>
          <w:i w:val="0"/>
          <w:caps w:val="0"/>
          <w:spacing w:val="8"/>
          <w:sz w:val="33"/>
          <w:szCs w:val="33"/>
          <w:shd w:val="clear" w:fill="FFFFFF"/>
        </w:rPr>
      </w:pPr>
      <w:r>
        <w:rPr>
          <w:rFonts w:hint="eastAsia" w:ascii="微软雅黑" w:hAnsi="微软雅黑" w:eastAsia="微软雅黑" w:cs="微软雅黑"/>
          <w:b/>
          <w:i w:val="0"/>
          <w:caps w:val="0"/>
          <w:spacing w:val="8"/>
          <w:sz w:val="33"/>
          <w:szCs w:val="33"/>
          <w:shd w:val="clear" w:fill="FFFFFF"/>
        </w:rPr>
        <w:br w:type="page"/>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kern w:val="0"/>
          <w:lang w:val="en-US" w:eastAsia="zh-CN"/>
        </w:rPr>
      </w:pPr>
      <w:r>
        <w:rPr>
          <w:rFonts w:hint="eastAsia" w:ascii="微软雅黑" w:hAnsi="微软雅黑" w:eastAsia="微软雅黑" w:cs="微软雅黑"/>
          <w:b/>
          <w:i w:val="0"/>
          <w:caps w:val="0"/>
          <w:spacing w:val="8"/>
          <w:sz w:val="33"/>
          <w:szCs w:val="33"/>
          <w:shd w:val="clear" w:fill="FFFFFF"/>
        </w:rPr>
        <w:t>中共中央政治局召开会议 研究部署党风廉政建设和反腐败工作 中共中央总书记习近平主持会议</w:t>
      </w:r>
    </w:p>
    <w:p>
      <w:pPr>
        <w:spacing w:line="320" w:lineRule="exact"/>
        <w:rPr>
          <w:rFonts w:hint="eastAsia"/>
          <w:kern w:val="0"/>
          <w:lang w:val="en-US" w:eastAsia="zh-CN"/>
        </w:rPr>
      </w:pPr>
    </w:p>
    <w:p>
      <w:pPr>
        <w:spacing w:line="320" w:lineRule="exact"/>
        <w:rPr>
          <w:rFonts w:hint="eastAsia"/>
          <w:kern w:val="0"/>
          <w:lang w:val="en-US" w:eastAsia="zh-CN"/>
        </w:rPr>
      </w:pPr>
      <w:r>
        <w:rPr>
          <w:rFonts w:hint="eastAsia"/>
          <w:kern w:val="0"/>
          <w:lang w:val="en-US" w:eastAsia="zh-CN"/>
        </w:rPr>
        <w:t>中共中央政治局12月25日召开会议，听取中央纪委国家监委工作汇报，研究部署2026年党风廉政建设和反腐败工作。中共中央总书记习近平主持会议。</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会议指出，2025年，在以习近平同志为核心的党中央坚强领导下，中央纪委国家监委和各级纪检监察机关深入学习贯彻习近平新时代中国特色社会主义思想特别是习近平总书记关于党的建设的重要思想、关于党的自我革命的重要思想，持续推进党风廉政建设和反腐败斗争，聚焦“两个维护”强化政治监督，扎实开展深入贯彻中央八项规定精神学习教育，保持反腐败高压态势，深入推进风腐同查同治，坚决整治群众身边不正之风和腐败问题，完成对省区市巡视全覆盖，推动完善党和国家监督体系，深入开展“纪检监察工作规范化法治化正规化建设年”行动，推动纪检监察工作高质量发展取得新进展新成效。</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会议强调，2026年，各级纪检监察机关要坚持以习近平新时代中国特色社会主义思想为指导，深刻领悟“两个确立”的决定性意义，坚决做到“两个维护”，以更高标准、更实举措推进全面从严治党，为“十五五”时期经济社会发展提供坚强保障。要围绕实现“十五五”时期目标任务做深做实政治监督，推动党员干部树立和践行正确政绩观，把党中央重大决策部署落到实处。巩固拓展深入贯彻中央八项规定精神学习教育成果，推进作风建设常态化长效化，持续深化群众身边不正之风和腐败问题集中整治，用更多可感可及的成果赢得群众信任。把权力关进制度笼子，强化监督执纪问责，切实增强制度执行力。坚定不移推进反腐败斗争，一步不停歇、半步不退让，深化标本兼治，一体推进不敢腐、不能腐、不想腐，不断增强治理腐败综合效能。持续加强纪检监察工作规范化法治化正规化建设，着力锻造纪检监察铁军。</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此前，习近平总书记主持召开中央政治局常委会会议，听取中央纪委国家监委2025年工作情况和二十届中央纪律检查委员会第五次全体会议准备情况汇报。</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会议同意明年1月12日至14日召开二十届中央纪律检查委员会第五次全体会议。</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会议还研究了其他事项。</w:t>
      </w:r>
    </w:p>
    <w:p>
      <w:pPr>
        <w:spacing w:line="320" w:lineRule="exact"/>
        <w:rPr>
          <w:rFonts w:hint="eastAsia"/>
          <w:kern w:val="0"/>
          <w:lang w:val="en-US" w:eastAsia="zh-CN"/>
        </w:rPr>
      </w:pPr>
      <w:r>
        <w:rPr>
          <w:rFonts w:hint="eastAsia"/>
          <w:kern w:val="0"/>
          <w:lang w:val="en-US" w:eastAsia="zh-CN"/>
        </w:rPr>
        <w:t>（来源：新华社）</w:t>
      </w:r>
    </w:p>
    <w:p>
      <w:pPr>
        <w:spacing w:line="320" w:lineRule="exact"/>
        <w:rPr>
          <w:rFonts w:hint="eastAsia"/>
          <w:kern w:val="0"/>
          <w:lang w:val="en-US" w:eastAsia="zh-CN"/>
        </w:rPr>
      </w:pPr>
      <w:r>
        <w:rPr>
          <w:rFonts w:hint="eastAsia"/>
          <w:kern w:val="0"/>
          <w:lang w:val="en-US" w:eastAsia="zh-CN"/>
        </w:rPr>
        <w:br w:type="page"/>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微软雅黑" w:hAnsi="微软雅黑" w:eastAsia="微软雅黑" w:cs="微软雅黑"/>
          <w:b/>
          <w:i w:val="0"/>
          <w:caps w:val="0"/>
          <w:spacing w:val="8"/>
          <w:sz w:val="33"/>
          <w:szCs w:val="33"/>
          <w:shd w:val="clear" w:fill="FFFFFF"/>
        </w:rPr>
      </w:pPr>
      <w:r>
        <w:rPr>
          <w:rFonts w:hint="eastAsia" w:ascii="微软雅黑" w:hAnsi="微软雅黑" w:eastAsia="微软雅黑" w:cs="微软雅黑"/>
          <w:b/>
          <w:i w:val="0"/>
          <w:caps w:val="0"/>
          <w:spacing w:val="8"/>
          <w:sz w:val="33"/>
          <w:szCs w:val="33"/>
          <w:shd w:val="clear" w:fill="FFFFFF"/>
        </w:rPr>
        <w:t>全国宣传部长会议在京召开 蔡奇出席并讲话</w:t>
      </w:r>
    </w:p>
    <w:p>
      <w:pPr>
        <w:spacing w:line="320" w:lineRule="exact"/>
        <w:rPr>
          <w:rFonts w:hint="eastAsia"/>
          <w:kern w:val="0"/>
          <w:lang w:val="en-US" w:eastAsia="zh-CN"/>
        </w:rPr>
      </w:pPr>
    </w:p>
    <w:p>
      <w:pPr>
        <w:spacing w:line="320" w:lineRule="exact"/>
        <w:rPr>
          <w:rFonts w:hint="eastAsia"/>
          <w:kern w:val="0"/>
          <w:lang w:val="en-US" w:eastAsia="zh-CN"/>
        </w:rPr>
      </w:pPr>
      <w:r>
        <w:rPr>
          <w:rFonts w:hint="eastAsia"/>
          <w:kern w:val="0"/>
          <w:lang w:val="en-US" w:eastAsia="zh-CN"/>
        </w:rPr>
        <w:t>全国宣传部长会议5日在京召开。中共中央政治局常委、中央书记处书记蔡奇出席会议并讲话。他强调，要坚持以习近平新时代中国特色社会主义思想为指导，深入贯彻党的二十大和二十届历次全会精神，认真落实四中全会部署，全面贯彻习近平文化思想，深刻领悟“两个确立”的决定性意义，增强“四个意识”、坚定“四个自信”、做到“两个维护”，着力深化党的创新理论学习和宣传教育，着力提高主流舆论引导能力，着力弘扬和践行社会主义核心价值观，着力繁荣发展文化事业文化产业，着力提升中华文明传播力影响力，为以中国式现代化全面推进强国建设、民族复兴伟业提供坚强思想保证、强大精神力量、有利文化条件。</w:t>
      </w:r>
    </w:p>
    <w:p>
      <w:pPr>
        <w:spacing w:line="320" w:lineRule="exact"/>
        <w:rPr>
          <w:rFonts w:hint="eastAsia"/>
          <w:kern w:val="0"/>
          <w:lang w:val="en-US" w:eastAsia="zh-CN"/>
        </w:rPr>
      </w:pPr>
      <w:r>
        <w:rPr>
          <w:rFonts w:hint="eastAsia"/>
          <w:kern w:val="0"/>
          <w:lang w:val="en-US" w:eastAsia="zh-CN"/>
        </w:rPr>
        <w:t>蔡奇指出，党的十八大以来，以习近平同志为核心的党中央坚持从战略和全局高度抓宣传思想文化工作，习近平总书记主持召开一系列重要会议，发表一系列重要讲话，提出一系列新思想新观点新论断，形成习近平文化思想，引领新时代宣传思想文化事业取得历史性成就。要进一步抓好学习贯彻，全面落实党中央关于文化强国建设的战略部署，推动“十五五”宣传思想文化工作开好局起好步。</w:t>
      </w:r>
    </w:p>
    <w:p>
      <w:pPr>
        <w:spacing w:line="320" w:lineRule="exact"/>
        <w:rPr>
          <w:rFonts w:hint="eastAsia"/>
          <w:kern w:val="0"/>
          <w:lang w:val="en-US" w:eastAsia="zh-CN"/>
        </w:rPr>
      </w:pPr>
      <w:r>
        <w:rPr>
          <w:rFonts w:hint="eastAsia"/>
          <w:kern w:val="0"/>
          <w:lang w:val="en-US" w:eastAsia="zh-CN"/>
        </w:rPr>
        <w:t>蔡奇强调，要坚持不懈用习近平新时代中国特色社会主义思想凝心铸魂，健全用党的创新理论武装全党、教育人民、指导实践工作体系。做好新闻舆论工作，把经济宣传摆在重要位置，加强舆情应对与舆论引导，压实意识形态工作责任制，巩固壮大自信自强、团结奋进的主流思想舆论。持续增强社会主义核心价值观引领力塑造力，推动做好思想政治工作。深化文化体制机制改革，发展新型文化业态，推进文化和旅游深度融合。提高网络生态治理效能，加强网络文明建设。加强国际传播能力建设，真实、立体、全面讲好新时代中国故事。坚持和加强党的全面领导，推进反腐败斗争和作风建设，为开创宣传思想文化工作新局面提供坚强政治保证。</w:t>
      </w:r>
    </w:p>
    <w:p>
      <w:pPr>
        <w:spacing w:line="320" w:lineRule="exact"/>
        <w:rPr>
          <w:rFonts w:hint="eastAsia"/>
          <w:kern w:val="0"/>
          <w:lang w:val="en-US" w:eastAsia="zh-CN"/>
        </w:rPr>
      </w:pPr>
      <w:r>
        <w:rPr>
          <w:rFonts w:hint="eastAsia"/>
          <w:kern w:val="0"/>
          <w:lang w:val="en-US" w:eastAsia="zh-CN"/>
        </w:rPr>
        <w:t>中共中央政治局委员、中宣部部长李书磊主持会议并作工作布置，强调要深入学习实践习近平文化思想，深化党的创新理论学习研究和宣传阐释，加快推进主流媒体系统性变革，提高做好思想政治工作的能力和水平，繁荣互联网条件下新大众文艺，以标志性改革举措推进文化遗产系统性保护，大力推进全民阅读和书香社会建设，统筹推进城乡精神文明建设，积极构建中国哲学社会科学自主知识体系，全面增强国际传播效能，推动文化建设数智化赋能和信息化转型，以高度的责任感使命感把各项任务落到实处。</w:t>
      </w:r>
    </w:p>
    <w:p>
      <w:pPr>
        <w:spacing w:line="320" w:lineRule="exact"/>
        <w:rPr>
          <w:rFonts w:hint="eastAsia"/>
          <w:kern w:val="0"/>
          <w:lang w:val="en-US" w:eastAsia="zh-CN"/>
        </w:rPr>
      </w:pPr>
      <w:r>
        <w:rPr>
          <w:rFonts w:hint="eastAsia"/>
          <w:kern w:val="0"/>
          <w:lang w:val="en-US" w:eastAsia="zh-CN"/>
        </w:rPr>
        <w:t>全国人大常委会副委员长铁凝、国务委员谌贻琴出席会议。</w:t>
      </w:r>
    </w:p>
    <w:p>
      <w:pPr>
        <w:spacing w:line="320" w:lineRule="exact"/>
        <w:rPr>
          <w:rFonts w:hint="eastAsia" w:eastAsia="宋体"/>
          <w:kern w:val="0"/>
          <w:lang w:val="en-US" w:eastAsia="zh-CN"/>
        </w:rPr>
      </w:pPr>
      <w:r>
        <w:rPr>
          <w:rFonts w:hint="eastAsia"/>
          <w:kern w:val="0"/>
          <w:lang w:val="en-US" w:eastAsia="zh-CN"/>
        </w:rPr>
        <w:t>（来源：新华社）</w:t>
      </w:r>
    </w:p>
    <w:p>
      <w:pPr>
        <w:spacing w:line="320" w:lineRule="exact"/>
        <w:rPr>
          <w:rFonts w:hint="eastAsia"/>
          <w:kern w:val="0"/>
          <w:lang w:val="en-US" w:eastAsia="zh-CN"/>
        </w:rPr>
      </w:pPr>
    </w:p>
    <w:p>
      <w:pPr>
        <w:spacing w:line="320" w:lineRule="exact"/>
        <w:rPr>
          <w:rFonts w:hint="eastAsia"/>
          <w:kern w:val="0"/>
          <w:lang w:val="en-US" w:eastAsia="zh-CN"/>
        </w:rPr>
      </w:pPr>
      <w:r>
        <w:rPr>
          <w:rFonts w:hint="eastAsia"/>
          <w:kern w:val="0"/>
          <w:lang w:val="en-US" w:eastAsia="zh-CN"/>
        </w:rPr>
        <w:br w:type="page"/>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kern w:val="0"/>
          <w:lang w:val="en-US" w:eastAsia="zh-CN"/>
        </w:rPr>
      </w:pPr>
      <w:r>
        <w:rPr>
          <w:rFonts w:hint="eastAsia" w:ascii="微软雅黑" w:hAnsi="微软雅黑" w:eastAsia="微软雅黑" w:cs="微软雅黑"/>
          <w:b/>
          <w:i w:val="0"/>
          <w:caps w:val="0"/>
          <w:spacing w:val="8"/>
          <w:sz w:val="33"/>
          <w:szCs w:val="33"/>
          <w:shd w:val="clear" w:fill="FFFFFF"/>
        </w:rPr>
        <w:t>《福建省贯彻〈党政机关厉行节约反对浪费条例〉实施细则》印发</w:t>
      </w:r>
    </w:p>
    <w:p>
      <w:pPr>
        <w:spacing w:line="320" w:lineRule="exact"/>
        <w:rPr>
          <w:rFonts w:hint="eastAsia"/>
          <w:kern w:val="0"/>
          <w:lang w:val="en-US" w:eastAsia="zh-CN"/>
        </w:rPr>
      </w:pPr>
    </w:p>
    <w:p>
      <w:pPr>
        <w:spacing w:line="320" w:lineRule="exact"/>
        <w:rPr>
          <w:rFonts w:hint="eastAsia"/>
          <w:kern w:val="0"/>
          <w:lang w:val="en-US" w:eastAsia="zh-CN"/>
        </w:rPr>
      </w:pPr>
      <w:r>
        <w:rPr>
          <w:rFonts w:hint="eastAsia"/>
          <w:kern w:val="0"/>
          <w:lang w:val="en-US" w:eastAsia="zh-CN"/>
        </w:rPr>
        <w:t>近日，中共福建省委、福建省人民政府印发了修订后的《福建省贯彻〈党政机关厉行节约反对浪费条例〉实施细则》，并发出通知，要求各地各部门认真遵照执行。</w:t>
      </w:r>
    </w:p>
    <w:p>
      <w:pPr>
        <w:spacing w:line="320" w:lineRule="exact"/>
        <w:rPr>
          <w:rFonts w:hint="eastAsia"/>
          <w:kern w:val="0"/>
          <w:lang w:val="en-US" w:eastAsia="zh-CN"/>
        </w:rPr>
      </w:pPr>
      <w:r>
        <w:rPr>
          <w:rFonts w:hint="eastAsia"/>
          <w:kern w:val="0"/>
          <w:lang w:val="en-US" w:eastAsia="zh-CN"/>
        </w:rPr>
        <w:t>《福建省贯彻〈党政机关厉行节约反对浪费条例〉实施细则》全文如下——</w:t>
      </w:r>
    </w:p>
    <w:p>
      <w:pPr>
        <w:spacing w:line="320" w:lineRule="exact"/>
        <w:rPr>
          <w:rFonts w:hint="eastAsia"/>
          <w:kern w:val="0"/>
          <w:lang w:val="en-US" w:eastAsia="zh-CN"/>
        </w:rPr>
      </w:pPr>
    </w:p>
    <w:p>
      <w:pPr>
        <w:spacing w:line="320" w:lineRule="exact"/>
        <w:jc w:val="center"/>
        <w:rPr>
          <w:rFonts w:hint="eastAsia"/>
          <w:b/>
          <w:bCs/>
          <w:kern w:val="0"/>
          <w:sz w:val="24"/>
          <w:szCs w:val="28"/>
          <w:lang w:val="en-US" w:eastAsia="zh-CN"/>
        </w:rPr>
      </w:pPr>
      <w:r>
        <w:rPr>
          <w:rFonts w:hint="eastAsia"/>
          <w:b/>
          <w:bCs/>
          <w:kern w:val="0"/>
          <w:sz w:val="24"/>
          <w:szCs w:val="28"/>
          <w:lang w:val="en-US" w:eastAsia="zh-CN"/>
        </w:rPr>
        <w:t>福建省贯彻</w:t>
      </w:r>
    </w:p>
    <w:p>
      <w:pPr>
        <w:spacing w:line="320" w:lineRule="exact"/>
        <w:jc w:val="center"/>
        <w:rPr>
          <w:rFonts w:hint="eastAsia"/>
          <w:b/>
          <w:bCs/>
          <w:kern w:val="0"/>
          <w:sz w:val="24"/>
          <w:szCs w:val="28"/>
          <w:lang w:val="en-US" w:eastAsia="zh-CN"/>
        </w:rPr>
      </w:pPr>
      <w:r>
        <w:rPr>
          <w:rFonts w:hint="eastAsia"/>
          <w:b/>
          <w:bCs/>
          <w:kern w:val="0"/>
          <w:sz w:val="24"/>
          <w:szCs w:val="28"/>
          <w:lang w:val="en-US" w:eastAsia="zh-CN"/>
        </w:rPr>
        <w:t>《党政机关厉行节约反对浪费条例》</w:t>
      </w:r>
    </w:p>
    <w:p>
      <w:pPr>
        <w:spacing w:line="320" w:lineRule="exact"/>
        <w:jc w:val="center"/>
        <w:rPr>
          <w:rFonts w:hint="eastAsia"/>
          <w:b/>
          <w:bCs/>
          <w:kern w:val="0"/>
          <w:sz w:val="24"/>
          <w:szCs w:val="28"/>
          <w:lang w:val="en-US" w:eastAsia="zh-CN"/>
        </w:rPr>
      </w:pPr>
      <w:r>
        <w:rPr>
          <w:rFonts w:hint="eastAsia"/>
          <w:b/>
          <w:bCs/>
          <w:kern w:val="0"/>
          <w:sz w:val="24"/>
          <w:szCs w:val="28"/>
          <w:lang w:val="en-US" w:eastAsia="zh-CN"/>
        </w:rPr>
        <w:t>实施细则</w:t>
      </w:r>
    </w:p>
    <w:p>
      <w:pPr>
        <w:spacing w:line="320" w:lineRule="exact"/>
        <w:rPr>
          <w:rFonts w:hint="eastAsia"/>
          <w:kern w:val="0"/>
          <w:lang w:val="en-US" w:eastAsia="zh-CN"/>
        </w:rPr>
      </w:pPr>
      <w:r>
        <w:rPr>
          <w:rFonts w:hint="eastAsia"/>
          <w:kern w:val="0"/>
          <w:lang w:val="en-US" w:eastAsia="zh-CN"/>
        </w:rPr>
        <w:t>（2014年10月14日中共福建省委批准 2014年10月14日中共福建省委、福建省人民政府发布 2025年10月24日中共福建省委常委会会议修订 2025年11月6日中共福建省委、福建省人民政府发布）</w:t>
      </w:r>
    </w:p>
    <w:p>
      <w:pPr>
        <w:spacing w:line="320" w:lineRule="exact"/>
        <w:rPr>
          <w:rFonts w:hint="eastAsia"/>
          <w:kern w:val="0"/>
          <w:lang w:val="en-US" w:eastAsia="zh-CN"/>
        </w:rPr>
      </w:pPr>
      <w:r>
        <w:rPr>
          <w:rFonts w:hint="eastAsia"/>
          <w:kern w:val="0"/>
          <w:lang w:val="en-US" w:eastAsia="zh-CN"/>
        </w:rPr>
        <w:t>第一章 总 则</w:t>
      </w:r>
    </w:p>
    <w:p>
      <w:pPr>
        <w:spacing w:line="320" w:lineRule="exact"/>
        <w:rPr>
          <w:rFonts w:hint="eastAsia"/>
          <w:kern w:val="0"/>
          <w:lang w:val="en-US" w:eastAsia="zh-CN"/>
        </w:rPr>
      </w:pPr>
      <w:r>
        <w:rPr>
          <w:rFonts w:hint="eastAsia"/>
          <w:kern w:val="0"/>
          <w:lang w:val="en-US" w:eastAsia="zh-CN"/>
        </w:rPr>
        <w:t>第一条 为了进一步弘扬艰苦奋斗、勤俭节约的优良作风，推进全省党政机关厉行节约反对浪费，建设节约型机关，根据《党政机关厉行节约反对浪费条例》（以下简称《条例》）等有关规定，结合我省实际，制定本实施细则。</w:t>
      </w:r>
    </w:p>
    <w:p>
      <w:pPr>
        <w:spacing w:line="320" w:lineRule="exact"/>
        <w:rPr>
          <w:rFonts w:hint="eastAsia"/>
          <w:kern w:val="0"/>
          <w:lang w:val="en-US" w:eastAsia="zh-CN"/>
        </w:rPr>
      </w:pPr>
      <w:r>
        <w:rPr>
          <w:rFonts w:hint="eastAsia"/>
          <w:kern w:val="0"/>
          <w:lang w:val="en-US" w:eastAsia="zh-CN"/>
        </w:rPr>
        <w:t>第二条 本实施细则适用于全省各级党的机关、人大机关、行政机关、政协机关、监察机关、审判机关、检察机关，以及工会、共青团、妇联等人民团体和参照公务员法管理的事业单位。</w:t>
      </w:r>
    </w:p>
    <w:p>
      <w:pPr>
        <w:spacing w:line="320" w:lineRule="exact"/>
        <w:rPr>
          <w:rFonts w:hint="eastAsia"/>
          <w:kern w:val="0"/>
          <w:lang w:val="en-US" w:eastAsia="zh-CN"/>
        </w:rPr>
      </w:pPr>
      <w:r>
        <w:rPr>
          <w:rFonts w:hint="eastAsia"/>
          <w:kern w:val="0"/>
          <w:lang w:val="en-US" w:eastAsia="zh-CN"/>
        </w:rPr>
        <w:t>第三条 党政机关厉行节约反对浪费，应当深入贯彻中央八项规定精神，遵循《条例》规定的原则。</w:t>
      </w:r>
    </w:p>
    <w:p>
      <w:pPr>
        <w:spacing w:line="320" w:lineRule="exact"/>
        <w:rPr>
          <w:rFonts w:hint="eastAsia"/>
          <w:kern w:val="0"/>
          <w:lang w:val="en-US" w:eastAsia="zh-CN"/>
        </w:rPr>
      </w:pPr>
      <w:r>
        <w:rPr>
          <w:rFonts w:hint="eastAsia"/>
          <w:kern w:val="0"/>
          <w:lang w:val="en-US" w:eastAsia="zh-CN"/>
        </w:rPr>
        <w:t>第四条 省委办公厅、省政府办公厅负责统筹协调、指导检查全省党政机关厉行节约反对浪费工作，有关协调联络机制承办具体事务。各地党委和政府办公厅（室）负责指导检查本地区党政机关厉行节约反对浪费工作。</w:t>
      </w:r>
    </w:p>
    <w:p>
      <w:pPr>
        <w:spacing w:line="320" w:lineRule="exact"/>
        <w:rPr>
          <w:rFonts w:hint="eastAsia"/>
          <w:kern w:val="0"/>
          <w:lang w:val="en-US" w:eastAsia="zh-CN"/>
        </w:rPr>
      </w:pPr>
      <w:r>
        <w:rPr>
          <w:rFonts w:hint="eastAsia"/>
          <w:kern w:val="0"/>
          <w:lang w:val="en-US" w:eastAsia="zh-CN"/>
        </w:rPr>
        <w:t>各级纪检监察机关和组织人事、宣传、外事、发展改革、财政、审计、机关事务管理、公安交通管理等部门根据职责分工，依规依法履行对厉行节约反对浪费相关工作的管理、监督等职责。</w:t>
      </w:r>
    </w:p>
    <w:p>
      <w:pPr>
        <w:spacing w:line="320" w:lineRule="exact"/>
        <w:rPr>
          <w:rFonts w:hint="eastAsia"/>
          <w:kern w:val="0"/>
          <w:lang w:val="en-US" w:eastAsia="zh-CN"/>
        </w:rPr>
      </w:pPr>
      <w:r>
        <w:rPr>
          <w:rFonts w:hint="eastAsia"/>
          <w:kern w:val="0"/>
          <w:lang w:val="en-US" w:eastAsia="zh-CN"/>
        </w:rPr>
        <w:t>第二章 经费管理</w:t>
      </w:r>
    </w:p>
    <w:p>
      <w:pPr>
        <w:spacing w:line="320" w:lineRule="exact"/>
        <w:rPr>
          <w:rFonts w:hint="eastAsia"/>
          <w:kern w:val="0"/>
          <w:lang w:val="en-US" w:eastAsia="zh-CN"/>
        </w:rPr>
      </w:pPr>
      <w:r>
        <w:rPr>
          <w:rFonts w:hint="eastAsia"/>
          <w:kern w:val="0"/>
          <w:lang w:val="en-US" w:eastAsia="zh-CN"/>
        </w:rPr>
        <w:t>第五条 强化预算执行刚性约束，党政机关应当遵循先有预算、后有支出的原则，严格执行预算，严禁超预算或者无预算安排支出，严禁虚列支出、转移或者套取财政资金，严禁向下级单位、企事业单位、社会组织、个人摊派或者转嫁费用。</w:t>
      </w:r>
    </w:p>
    <w:p>
      <w:pPr>
        <w:spacing w:line="320" w:lineRule="exact"/>
        <w:rPr>
          <w:rFonts w:hint="eastAsia"/>
          <w:kern w:val="0"/>
          <w:lang w:val="en-US" w:eastAsia="zh-CN"/>
        </w:rPr>
      </w:pPr>
      <w:r>
        <w:rPr>
          <w:rFonts w:hint="eastAsia"/>
          <w:kern w:val="0"/>
          <w:lang w:val="en-US" w:eastAsia="zh-CN"/>
        </w:rPr>
        <w:t>严格控制国内差旅费、因公临时出国（境）费、公务接待费、公务用车购置及运行费、会议费、培训费等支出。年度预算执行中不予追加，因特殊需要确需追加的，严格按照规定程序报批。严格实施“三公”经费财政拨款限额管理，“三公”经费预算额度仅限当年使用。</w:t>
      </w:r>
    </w:p>
    <w:p>
      <w:pPr>
        <w:spacing w:line="320" w:lineRule="exact"/>
        <w:rPr>
          <w:rFonts w:hint="eastAsia"/>
          <w:kern w:val="0"/>
          <w:lang w:val="en-US" w:eastAsia="zh-CN"/>
        </w:rPr>
      </w:pPr>
      <w:r>
        <w:rPr>
          <w:rFonts w:hint="eastAsia"/>
          <w:kern w:val="0"/>
          <w:lang w:val="en-US" w:eastAsia="zh-CN"/>
        </w:rPr>
        <w:t>健全预算执行全过程动态监控机制，强化日常纠偏、防范风险，完善预算绩效管理体系，增强预算执行的严肃性，提高预算执行的准确率，防止各类突击花钱等现象发生。</w:t>
      </w:r>
    </w:p>
    <w:p>
      <w:pPr>
        <w:spacing w:line="320" w:lineRule="exact"/>
        <w:rPr>
          <w:rFonts w:hint="eastAsia"/>
          <w:kern w:val="0"/>
          <w:lang w:val="en-US" w:eastAsia="zh-CN"/>
        </w:rPr>
      </w:pPr>
      <w:r>
        <w:rPr>
          <w:rFonts w:hint="eastAsia"/>
          <w:kern w:val="0"/>
          <w:lang w:val="en-US" w:eastAsia="zh-CN"/>
        </w:rPr>
        <w:t>第六条 贯彻落实国家统一的会计制度和统计标准，党政机关应当准确核算机关运行经费，严格控制机关运行经费总量规模及占财政支出比重，按照规定开展机关运行成本统计工作，全面反映机关运行成本。健全财政资金使用效率评估制度，构建机关运行成本绩效评价指标体系，逐步推动将机关运行成本纳入各级政府绩效考核指标体系。</w:t>
      </w:r>
    </w:p>
    <w:p>
      <w:pPr>
        <w:spacing w:line="320" w:lineRule="exact"/>
        <w:rPr>
          <w:rFonts w:hint="eastAsia"/>
          <w:kern w:val="0"/>
          <w:lang w:val="en-US" w:eastAsia="zh-CN"/>
        </w:rPr>
      </w:pPr>
      <w:r>
        <w:rPr>
          <w:rFonts w:hint="eastAsia"/>
          <w:kern w:val="0"/>
          <w:lang w:val="en-US" w:eastAsia="zh-CN"/>
        </w:rPr>
        <w:t>第七条 深化公务卡制度改革。建立健全公务卡强制结算目录，党政机关国内发生的公务差旅费、公务接待费、公务用车运行维护费、会议费、培训费等经费支出，纳入国库集中支付，除按照规定实行银行转账外，应当使用公务卡结算，原则上不得使用现金。</w:t>
      </w:r>
    </w:p>
    <w:p>
      <w:pPr>
        <w:spacing w:line="320" w:lineRule="exact"/>
        <w:rPr>
          <w:rFonts w:hint="eastAsia"/>
          <w:kern w:val="0"/>
          <w:lang w:val="en-US" w:eastAsia="zh-CN"/>
        </w:rPr>
      </w:pPr>
      <w:r>
        <w:rPr>
          <w:rFonts w:hint="eastAsia"/>
          <w:kern w:val="0"/>
          <w:lang w:val="en-US" w:eastAsia="zh-CN"/>
        </w:rPr>
        <w:t>第八条 党政机关使用财政性资金采购政府集中采购目录内或者采购限额标准以上的货物、工程和服务，应当严格执行政府采购规定。</w:t>
      </w:r>
    </w:p>
    <w:p>
      <w:pPr>
        <w:spacing w:line="320" w:lineRule="exact"/>
        <w:rPr>
          <w:rFonts w:hint="eastAsia"/>
          <w:kern w:val="0"/>
          <w:lang w:val="en-US" w:eastAsia="zh-CN"/>
        </w:rPr>
      </w:pPr>
      <w:r>
        <w:rPr>
          <w:rFonts w:hint="eastAsia"/>
          <w:kern w:val="0"/>
          <w:lang w:val="en-US" w:eastAsia="zh-CN"/>
        </w:rPr>
        <w:t>党政机关应当通过预算管理一体化系统编制单位支出预算，同时编制政府采购预算，不得编制无资金来源和超资金预算的政府采购预算。严格落实无预算不采购要求，没有纳入政府采购预算或者政府采购资金未落实的，一律不得进行政府采购。</w:t>
      </w:r>
    </w:p>
    <w:p>
      <w:pPr>
        <w:spacing w:line="320" w:lineRule="exact"/>
        <w:rPr>
          <w:rFonts w:hint="eastAsia"/>
          <w:kern w:val="0"/>
          <w:lang w:val="en-US" w:eastAsia="zh-CN"/>
        </w:rPr>
      </w:pPr>
      <w:r>
        <w:rPr>
          <w:rFonts w:hint="eastAsia"/>
          <w:kern w:val="0"/>
          <w:lang w:val="en-US" w:eastAsia="zh-CN"/>
        </w:rPr>
        <w:t>严格执行政府采购程序，做好政府采购需求管理，综合考虑货物或者服务的全生命周期成本，根据项目实际情况依法合理选择采购方式。列入政府集中采购目录范围的应当委托集中采购机构代理采购。</w:t>
      </w:r>
    </w:p>
    <w:p>
      <w:pPr>
        <w:spacing w:line="320" w:lineRule="exact"/>
        <w:rPr>
          <w:rFonts w:hint="eastAsia"/>
          <w:kern w:val="0"/>
          <w:lang w:val="en-US" w:eastAsia="zh-CN"/>
        </w:rPr>
      </w:pPr>
      <w:r>
        <w:rPr>
          <w:rFonts w:hint="eastAsia"/>
          <w:kern w:val="0"/>
          <w:lang w:val="en-US" w:eastAsia="zh-CN"/>
        </w:rPr>
        <w:t>党政机关应当加强内控管理，按照采购文件确定的事项在规定期限内签订合同，并根据合同约定的时间、款项、账号、付款条件等及时办理支付、组织验收。政府采购监督管理部门应当建立健全政府采购结果评价制度，对政府采购的资金节约、政策效能、透明程度以及专业化水平进行综合、客观评价。</w:t>
      </w:r>
    </w:p>
    <w:p>
      <w:pPr>
        <w:spacing w:line="320" w:lineRule="exact"/>
        <w:rPr>
          <w:rFonts w:hint="eastAsia"/>
          <w:kern w:val="0"/>
          <w:lang w:val="en-US" w:eastAsia="zh-CN"/>
        </w:rPr>
      </w:pPr>
      <w:r>
        <w:rPr>
          <w:rFonts w:hint="eastAsia"/>
          <w:kern w:val="0"/>
          <w:lang w:val="en-US" w:eastAsia="zh-CN"/>
        </w:rPr>
        <w:t>省级财政部门进一步完善福建省政府采购网上公开信息系统，提升政府采购电子化水平。</w:t>
      </w:r>
    </w:p>
    <w:p>
      <w:pPr>
        <w:spacing w:line="320" w:lineRule="exact"/>
        <w:rPr>
          <w:rFonts w:hint="eastAsia"/>
          <w:kern w:val="0"/>
          <w:lang w:val="en-US" w:eastAsia="zh-CN"/>
        </w:rPr>
      </w:pPr>
      <w:r>
        <w:rPr>
          <w:rFonts w:hint="eastAsia"/>
          <w:kern w:val="0"/>
          <w:lang w:val="en-US" w:eastAsia="zh-CN"/>
        </w:rPr>
        <w:t>第九条 优化政府投资方向和结构，政府投资资金应当投向市场不能有效配置资源的社会公益服务、公共基础设施、农业农村、生态环境保护、重大科技进步、社会管理、国家安全等公共领域的项目。严禁违规建设楼堂馆所，严禁建设“政绩工程”、“形象工程”、“面子工程”。加强政府投资决策前期论证、组织实施、资金统筹、监督管理、建设运营等全生命周期管理，着力防范和遏制低效无效投资。</w:t>
      </w:r>
    </w:p>
    <w:p>
      <w:pPr>
        <w:spacing w:line="320" w:lineRule="exact"/>
        <w:rPr>
          <w:rFonts w:hint="eastAsia"/>
          <w:kern w:val="0"/>
          <w:lang w:val="en-US" w:eastAsia="zh-CN"/>
        </w:rPr>
      </w:pPr>
      <w:r>
        <w:rPr>
          <w:rFonts w:hint="eastAsia"/>
          <w:kern w:val="0"/>
          <w:lang w:val="en-US" w:eastAsia="zh-CN"/>
        </w:rPr>
        <w:t>深化政府投资项目可行性研究，加强用地、用海、用能、资金等要素保障，严防项目“烂尾”。完善“半拉子工程”、已建未用项目等科学处置程序办法，稳慎分类整改，防止“一刀切”、“扩大化”，避免滋生新的形式主义和闲置浪费。</w:t>
      </w:r>
    </w:p>
    <w:p>
      <w:pPr>
        <w:spacing w:line="320" w:lineRule="exact"/>
        <w:rPr>
          <w:rFonts w:hint="eastAsia"/>
          <w:kern w:val="0"/>
          <w:lang w:val="en-US" w:eastAsia="zh-CN"/>
        </w:rPr>
      </w:pPr>
      <w:r>
        <w:rPr>
          <w:rFonts w:hint="eastAsia"/>
          <w:kern w:val="0"/>
          <w:lang w:val="en-US" w:eastAsia="zh-CN"/>
        </w:rPr>
        <w:t>第三章 国内差旅和因公临时出国（境）</w:t>
      </w:r>
    </w:p>
    <w:p>
      <w:pPr>
        <w:spacing w:line="320" w:lineRule="exact"/>
        <w:rPr>
          <w:rFonts w:hint="eastAsia"/>
          <w:kern w:val="0"/>
          <w:lang w:val="en-US" w:eastAsia="zh-CN"/>
        </w:rPr>
      </w:pPr>
      <w:r>
        <w:rPr>
          <w:rFonts w:hint="eastAsia"/>
          <w:kern w:val="0"/>
          <w:lang w:val="en-US" w:eastAsia="zh-CN"/>
        </w:rPr>
        <w:t>第十条 党政机关应当严格执行国内差旅内部审批制度，加强计划管理和统筹把关，出差必须按照规定报经单位有关领导批准，从严控制国内差旅人数和天数。</w:t>
      </w:r>
    </w:p>
    <w:p>
      <w:pPr>
        <w:spacing w:line="320" w:lineRule="exact"/>
        <w:rPr>
          <w:rFonts w:hint="eastAsia"/>
          <w:kern w:val="0"/>
          <w:lang w:val="en-US" w:eastAsia="zh-CN"/>
        </w:rPr>
      </w:pPr>
      <w:r>
        <w:rPr>
          <w:rFonts w:hint="eastAsia"/>
          <w:kern w:val="0"/>
          <w:lang w:val="en-US" w:eastAsia="zh-CN"/>
        </w:rPr>
        <w:t>第十一条 国内差旅人员应当严格按照规定乘坐交通工具、住宿、用餐，费用由所在单位承担。差旅人员按照规定等级乘坐交通工具；到出差目的地有多种交通工具可选择时，在不影响公务、确保安全的前提下，应当选乘相对经济便捷的交通工具。差旅人员应当在职务级别对应的住宿费标准限额内，选择安全、经济、便捷的宾馆住宿。未按照规定等级乘坐交通工具、未按照住宿费标准限额住宿的，超支部分由个人自理。</w:t>
      </w:r>
    </w:p>
    <w:p>
      <w:pPr>
        <w:spacing w:line="320" w:lineRule="exact"/>
        <w:rPr>
          <w:rFonts w:hint="eastAsia"/>
          <w:kern w:val="0"/>
          <w:lang w:val="en-US" w:eastAsia="zh-CN"/>
        </w:rPr>
      </w:pPr>
      <w:r>
        <w:rPr>
          <w:rFonts w:hint="eastAsia"/>
          <w:kern w:val="0"/>
          <w:lang w:val="en-US" w:eastAsia="zh-CN"/>
        </w:rPr>
        <w:t>第十二条 统筹安排年度因公临时出国计划，严格控制团组数量和出访国家数、团组人数、在外停留天数，不得安排照顾性、无实质内容的一般性出访。</w:t>
      </w:r>
    </w:p>
    <w:p>
      <w:pPr>
        <w:spacing w:line="320" w:lineRule="exact"/>
        <w:rPr>
          <w:rFonts w:hint="eastAsia"/>
          <w:kern w:val="0"/>
          <w:lang w:val="en-US" w:eastAsia="zh-CN"/>
        </w:rPr>
      </w:pPr>
      <w:r>
        <w:rPr>
          <w:rFonts w:hint="eastAsia"/>
          <w:kern w:val="0"/>
          <w:lang w:val="en-US" w:eastAsia="zh-CN"/>
        </w:rPr>
        <w:t>全省每年出国培训团组实行总量控制，组织人事、外专、外事管理等有关部门应当加强出国培训总体规划和监督管理，从严制定年度出国培训项目计划。出国培训团组不得擅自更改既定教学方案和行程安排。每个团组回国后应当撰写总结报告，报上级主管机关；每个学员应当撰写培训情况报告，在本单位公示。</w:t>
      </w:r>
    </w:p>
    <w:p>
      <w:pPr>
        <w:spacing w:line="320" w:lineRule="exact"/>
        <w:rPr>
          <w:rFonts w:hint="eastAsia"/>
          <w:kern w:val="0"/>
          <w:lang w:val="en-US" w:eastAsia="zh-CN"/>
        </w:rPr>
      </w:pPr>
      <w:r>
        <w:rPr>
          <w:rFonts w:hint="eastAsia"/>
          <w:kern w:val="0"/>
          <w:lang w:val="en-US" w:eastAsia="zh-CN"/>
        </w:rPr>
        <w:t>第十三条 加强因公临时出国经费财务管理。严格遵守因公出国（境）经费预算、支出、使用、核算等财务制度，团组回国后20天内应当办理费用报销手续。</w:t>
      </w:r>
    </w:p>
    <w:p>
      <w:pPr>
        <w:spacing w:line="320" w:lineRule="exact"/>
        <w:rPr>
          <w:rFonts w:hint="eastAsia"/>
          <w:kern w:val="0"/>
          <w:lang w:val="en-US" w:eastAsia="zh-CN"/>
        </w:rPr>
      </w:pPr>
      <w:r>
        <w:rPr>
          <w:rFonts w:hint="eastAsia"/>
          <w:kern w:val="0"/>
          <w:lang w:val="en-US" w:eastAsia="zh-CN"/>
        </w:rPr>
        <w:t>第十四条 外事管理部门应当加强因公临时出国团组审核审批管理，严格执行年度因公临时出国计划报批制度，对违反规定、不适合成行的团组予以调整或者取消。</w:t>
      </w:r>
    </w:p>
    <w:p>
      <w:pPr>
        <w:spacing w:line="320" w:lineRule="exact"/>
        <w:rPr>
          <w:rFonts w:hint="eastAsia"/>
          <w:kern w:val="0"/>
          <w:lang w:val="en-US" w:eastAsia="zh-CN"/>
        </w:rPr>
      </w:pPr>
      <w:r>
        <w:rPr>
          <w:rFonts w:hint="eastAsia"/>
          <w:kern w:val="0"/>
          <w:lang w:val="en-US" w:eastAsia="zh-CN"/>
        </w:rPr>
        <w:t>第四章 公务接待</w:t>
      </w:r>
    </w:p>
    <w:p>
      <w:pPr>
        <w:spacing w:line="320" w:lineRule="exact"/>
        <w:rPr>
          <w:rFonts w:hint="eastAsia"/>
          <w:kern w:val="0"/>
          <w:lang w:val="en-US" w:eastAsia="zh-CN"/>
        </w:rPr>
      </w:pPr>
      <w:r>
        <w:rPr>
          <w:rFonts w:hint="eastAsia"/>
          <w:kern w:val="0"/>
          <w:lang w:val="en-US" w:eastAsia="zh-CN"/>
        </w:rPr>
        <w:t>第十五条 建立健全国内公务接待集中管理制度。县级以上党政机关公务接待管理部门应当加强对本级党政机关国内公务接待工作的管理，指导和监督下级党政机关国内公务接待工作。</w:t>
      </w:r>
    </w:p>
    <w:p>
      <w:pPr>
        <w:spacing w:line="320" w:lineRule="exact"/>
        <w:rPr>
          <w:rFonts w:hint="eastAsia"/>
          <w:kern w:val="0"/>
          <w:lang w:val="en-US" w:eastAsia="zh-CN"/>
        </w:rPr>
      </w:pPr>
      <w:r>
        <w:rPr>
          <w:rFonts w:hint="eastAsia"/>
          <w:kern w:val="0"/>
          <w:lang w:val="en-US" w:eastAsia="zh-CN"/>
        </w:rPr>
        <w:t>第十六条 党政机关应当建立国内公务接待审批控制制度，严格执行公函制度，对无公函的公务活动和来访人员一律不予接待；严格执行“先审批、后接待”的管理程序，对能够合并的公务接待统筹安排，严禁将非公务活动纳入接待范围。</w:t>
      </w:r>
    </w:p>
    <w:p>
      <w:pPr>
        <w:spacing w:line="320" w:lineRule="exact"/>
        <w:rPr>
          <w:rFonts w:hint="eastAsia"/>
          <w:kern w:val="0"/>
          <w:lang w:val="en-US" w:eastAsia="zh-CN"/>
        </w:rPr>
      </w:pPr>
      <w:r>
        <w:rPr>
          <w:rFonts w:hint="eastAsia"/>
          <w:kern w:val="0"/>
          <w:lang w:val="en-US" w:eastAsia="zh-CN"/>
        </w:rPr>
        <w:t>党政机关应当加强公务外出计划管理，科学安排和严格控制公务外出的时间、内容、路线、频率、人员数量。禁止没有特别需要的一般性学习交流、调研考察，禁止以各种名义和方式变相旅游，切实减轻基层负担。</w:t>
      </w:r>
    </w:p>
    <w:p>
      <w:pPr>
        <w:spacing w:line="320" w:lineRule="exact"/>
        <w:rPr>
          <w:rFonts w:hint="eastAsia"/>
          <w:kern w:val="0"/>
          <w:lang w:val="en-US" w:eastAsia="zh-CN"/>
        </w:rPr>
      </w:pPr>
      <w:r>
        <w:rPr>
          <w:rFonts w:hint="eastAsia"/>
          <w:kern w:val="0"/>
          <w:lang w:val="en-US" w:eastAsia="zh-CN"/>
        </w:rPr>
        <w:t>第十七条 接待单位应当严格执行国内公务接待支出总额和接待标准双控制度，严格按照标准安排接待对象的住宿用房，协助安排用餐、用车的按照标准收取伙食费、交通费。</w:t>
      </w:r>
    </w:p>
    <w:p>
      <w:pPr>
        <w:spacing w:line="320" w:lineRule="exact"/>
        <w:rPr>
          <w:rFonts w:hint="eastAsia"/>
          <w:kern w:val="0"/>
          <w:lang w:val="en-US" w:eastAsia="zh-CN"/>
        </w:rPr>
      </w:pPr>
      <w:r>
        <w:rPr>
          <w:rFonts w:hint="eastAsia"/>
          <w:kern w:val="0"/>
          <w:lang w:val="en-US" w:eastAsia="zh-CN"/>
        </w:rPr>
        <w:t>不得在接待费和其他经费中列支应当由接待对象承担的费用，不得以举办会议、培训等名义列支、转移、隐匿接待费开支，不得向下级单位及其他单位、企业、个人转嫁接待费用，不得假借公务接待名义列支其他支出。</w:t>
      </w:r>
    </w:p>
    <w:p>
      <w:pPr>
        <w:spacing w:line="320" w:lineRule="exact"/>
        <w:rPr>
          <w:rFonts w:hint="eastAsia"/>
          <w:kern w:val="0"/>
          <w:lang w:val="en-US" w:eastAsia="zh-CN"/>
        </w:rPr>
      </w:pPr>
      <w:r>
        <w:rPr>
          <w:rFonts w:hint="eastAsia"/>
          <w:kern w:val="0"/>
          <w:lang w:val="en-US" w:eastAsia="zh-CN"/>
        </w:rPr>
        <w:t>第十八条 严格执行国内公务接待清单制度。接待清单应当如实反映接待对象、公务活动、接待费、陪同和相关工作保障人员等情况，作为财务报销的凭证之一并接受审计。</w:t>
      </w:r>
    </w:p>
    <w:p>
      <w:pPr>
        <w:spacing w:line="320" w:lineRule="exact"/>
        <w:rPr>
          <w:rFonts w:hint="eastAsia"/>
          <w:kern w:val="0"/>
          <w:lang w:val="en-US" w:eastAsia="zh-CN"/>
        </w:rPr>
      </w:pPr>
      <w:r>
        <w:rPr>
          <w:rFonts w:hint="eastAsia"/>
          <w:kern w:val="0"/>
          <w:lang w:val="en-US" w:eastAsia="zh-CN"/>
        </w:rPr>
        <w:t>第十九条 创新公务接待方式，推广在机关食堂等定点场所自行扫码付费的“公务餐”，坚决杜绝违规吃喝。</w:t>
      </w:r>
    </w:p>
    <w:p>
      <w:pPr>
        <w:spacing w:line="320" w:lineRule="exact"/>
        <w:rPr>
          <w:rFonts w:hint="eastAsia"/>
          <w:kern w:val="0"/>
          <w:lang w:val="en-US" w:eastAsia="zh-CN"/>
        </w:rPr>
      </w:pPr>
      <w:r>
        <w:rPr>
          <w:rFonts w:hint="eastAsia"/>
          <w:kern w:val="0"/>
          <w:lang w:val="en-US" w:eastAsia="zh-CN"/>
        </w:rPr>
        <w:t>赴乡村振兴重点县及欠发达老区苏区县开展公务活动的，提倡主动不接受接待工作餐安排。</w:t>
      </w:r>
    </w:p>
    <w:p>
      <w:pPr>
        <w:spacing w:line="320" w:lineRule="exact"/>
        <w:rPr>
          <w:rFonts w:hint="eastAsia"/>
          <w:kern w:val="0"/>
          <w:lang w:val="en-US" w:eastAsia="zh-CN"/>
        </w:rPr>
      </w:pPr>
      <w:r>
        <w:rPr>
          <w:rFonts w:hint="eastAsia"/>
          <w:kern w:val="0"/>
          <w:lang w:val="en-US" w:eastAsia="zh-CN"/>
        </w:rPr>
        <w:t>第二十条 县级以上党委和政府应当统筹规划，建立接待资源共享机制，推进机关所属接待、培训场所集中统一管理和利用。机关内部接待场所应当建立健全服务经营机制，推行企业化管理，有效降低经营服务成本。</w:t>
      </w:r>
    </w:p>
    <w:p>
      <w:pPr>
        <w:spacing w:line="320" w:lineRule="exact"/>
        <w:rPr>
          <w:rFonts w:hint="eastAsia"/>
          <w:kern w:val="0"/>
          <w:lang w:val="en-US" w:eastAsia="zh-CN"/>
        </w:rPr>
      </w:pPr>
      <w:r>
        <w:rPr>
          <w:rFonts w:hint="eastAsia"/>
          <w:kern w:val="0"/>
          <w:lang w:val="en-US" w:eastAsia="zh-CN"/>
        </w:rPr>
        <w:t>积极推进国内公务接待服务社会化改革和信息化建设，有效利用社会资源为国内公务接待提供用车、住宿、用餐等服务。推行接待用车定点服务制度。</w:t>
      </w:r>
    </w:p>
    <w:p>
      <w:pPr>
        <w:spacing w:line="320" w:lineRule="exact"/>
        <w:rPr>
          <w:rFonts w:hint="eastAsia"/>
          <w:kern w:val="0"/>
          <w:lang w:val="en-US" w:eastAsia="zh-CN"/>
        </w:rPr>
      </w:pPr>
      <w:r>
        <w:rPr>
          <w:rFonts w:hint="eastAsia"/>
          <w:kern w:val="0"/>
          <w:lang w:val="en-US" w:eastAsia="zh-CN"/>
        </w:rPr>
        <w:t>第五章 公务用车</w:t>
      </w:r>
    </w:p>
    <w:p>
      <w:pPr>
        <w:spacing w:line="320" w:lineRule="exact"/>
        <w:rPr>
          <w:rFonts w:hint="eastAsia"/>
          <w:kern w:val="0"/>
          <w:lang w:val="en-US" w:eastAsia="zh-CN"/>
        </w:rPr>
      </w:pPr>
      <w:r>
        <w:rPr>
          <w:rFonts w:hint="eastAsia"/>
          <w:kern w:val="0"/>
          <w:lang w:val="en-US" w:eastAsia="zh-CN"/>
        </w:rPr>
        <w:t>第二十一条 坚持社会化、市场化方向，建立和实行符合规定的公务用车制度，合理有效配置公务用车资源，创新公务交通分类提供方式，保障公务出行，降低运行成本。</w:t>
      </w:r>
    </w:p>
    <w:p>
      <w:pPr>
        <w:spacing w:line="320" w:lineRule="exact"/>
        <w:rPr>
          <w:rFonts w:hint="eastAsia"/>
          <w:kern w:val="0"/>
          <w:lang w:val="en-US" w:eastAsia="zh-CN"/>
        </w:rPr>
      </w:pPr>
      <w:r>
        <w:rPr>
          <w:rFonts w:hint="eastAsia"/>
          <w:kern w:val="0"/>
          <w:lang w:val="en-US" w:eastAsia="zh-CN"/>
        </w:rPr>
        <w:t>普通公务出行由公务人员自主选择，实行社会化提供。按照有关规定发放公务交通补贴，不得以公务交通补贴的名义变相发放福利，不得既领取公务交通补贴又违规使用公务用车。</w:t>
      </w:r>
    </w:p>
    <w:p>
      <w:pPr>
        <w:spacing w:line="320" w:lineRule="exact"/>
        <w:rPr>
          <w:rFonts w:hint="eastAsia"/>
          <w:kern w:val="0"/>
          <w:lang w:val="en-US" w:eastAsia="zh-CN"/>
        </w:rPr>
      </w:pPr>
      <w:r>
        <w:rPr>
          <w:rFonts w:hint="eastAsia"/>
          <w:kern w:val="0"/>
          <w:lang w:val="en-US" w:eastAsia="zh-CN"/>
        </w:rPr>
        <w:t>外事接待、会议和集体活动用车主要通过社会租赁方式解决。</w:t>
      </w:r>
    </w:p>
    <w:p>
      <w:pPr>
        <w:spacing w:line="320" w:lineRule="exact"/>
        <w:rPr>
          <w:rFonts w:hint="eastAsia"/>
          <w:kern w:val="0"/>
          <w:lang w:val="en-US" w:eastAsia="zh-CN"/>
        </w:rPr>
      </w:pPr>
      <w:r>
        <w:rPr>
          <w:rFonts w:hint="eastAsia"/>
          <w:kern w:val="0"/>
          <w:lang w:val="en-US" w:eastAsia="zh-CN"/>
        </w:rPr>
        <w:t>第二十二条 机关事务管理部门会同有关部门建立健全党政机关公务用车管理制度。</w:t>
      </w:r>
    </w:p>
    <w:p>
      <w:pPr>
        <w:spacing w:line="320" w:lineRule="exact"/>
        <w:rPr>
          <w:rFonts w:hint="eastAsia"/>
          <w:kern w:val="0"/>
          <w:lang w:val="en-US" w:eastAsia="zh-CN"/>
        </w:rPr>
      </w:pPr>
      <w:r>
        <w:rPr>
          <w:rFonts w:hint="eastAsia"/>
          <w:kern w:val="0"/>
          <w:lang w:val="en-US" w:eastAsia="zh-CN"/>
        </w:rPr>
        <w:t>党政机关公务用车实行统一编制、统一标准、统一购置经费、统一采购配备管理。从严配备各类公务用车，不得以特殊用途等理由变相超编制、超标准配备公务用车，不得以任何方式换用、借用、占用所属单位或者其他单位和个人的车辆，不得接受企事业单位和个人赠送的车辆。确因工作需要，超标准配备的，应当按照规定程序报批。</w:t>
      </w:r>
    </w:p>
    <w:p>
      <w:pPr>
        <w:spacing w:line="320" w:lineRule="exact"/>
        <w:rPr>
          <w:rFonts w:hint="eastAsia"/>
          <w:kern w:val="0"/>
          <w:lang w:val="en-US" w:eastAsia="zh-CN"/>
        </w:rPr>
      </w:pPr>
      <w:r>
        <w:rPr>
          <w:rFonts w:hint="eastAsia"/>
          <w:kern w:val="0"/>
          <w:lang w:val="en-US" w:eastAsia="zh-CN"/>
        </w:rPr>
        <w:t>严格按照规定配备专车，不得擅自扩大专车配备范围或者变相配备专车。领导干部兼任多个领导职位的，不得重复配备专车。按照规定需要收回专车的，应当将原配备使用的专车交机关事务管理部门。</w:t>
      </w:r>
    </w:p>
    <w:p>
      <w:pPr>
        <w:spacing w:line="320" w:lineRule="exact"/>
        <w:rPr>
          <w:rFonts w:hint="eastAsia"/>
          <w:kern w:val="0"/>
          <w:lang w:val="en-US" w:eastAsia="zh-CN"/>
        </w:rPr>
      </w:pPr>
      <w:r>
        <w:rPr>
          <w:rFonts w:hint="eastAsia"/>
          <w:kern w:val="0"/>
          <w:lang w:val="en-US" w:eastAsia="zh-CN"/>
        </w:rPr>
        <w:t>第二十三条 加强新能源汽车基础设施建设，新购置公务用车中新能源汽车比例不得低于我省相关规定要求的配备比例。鼓励公务租赁用车使用新能源汽车。</w:t>
      </w:r>
    </w:p>
    <w:p>
      <w:pPr>
        <w:spacing w:line="320" w:lineRule="exact"/>
        <w:rPr>
          <w:rFonts w:hint="eastAsia"/>
          <w:kern w:val="0"/>
          <w:lang w:val="en-US" w:eastAsia="zh-CN"/>
        </w:rPr>
      </w:pPr>
      <w:r>
        <w:rPr>
          <w:rFonts w:hint="eastAsia"/>
          <w:kern w:val="0"/>
          <w:lang w:val="en-US" w:eastAsia="zh-CN"/>
        </w:rPr>
        <w:t>公务用车严格按照规定年限更新，达到更新年限仍能继续使用的应当继续使用。因安全等原因确需提前更新的，应当严格履行审批手续。</w:t>
      </w:r>
    </w:p>
    <w:p>
      <w:pPr>
        <w:spacing w:line="320" w:lineRule="exact"/>
        <w:rPr>
          <w:rFonts w:hint="eastAsia"/>
          <w:kern w:val="0"/>
          <w:lang w:val="en-US" w:eastAsia="zh-CN"/>
        </w:rPr>
      </w:pPr>
      <w:r>
        <w:rPr>
          <w:rFonts w:hint="eastAsia"/>
          <w:kern w:val="0"/>
          <w:lang w:val="en-US" w:eastAsia="zh-CN"/>
        </w:rPr>
        <w:t>因机构撤并等原因上交的公务车辆，能够继续使用的，应当优先通过“公物仓”平台进行调拨使用；不适合继续使用的，鼓励进行拍卖处置，提高处置效益。</w:t>
      </w:r>
    </w:p>
    <w:p>
      <w:pPr>
        <w:spacing w:line="320" w:lineRule="exact"/>
        <w:rPr>
          <w:rFonts w:hint="eastAsia"/>
          <w:kern w:val="0"/>
          <w:lang w:val="en-US" w:eastAsia="zh-CN"/>
        </w:rPr>
      </w:pPr>
      <w:r>
        <w:rPr>
          <w:rFonts w:hint="eastAsia"/>
          <w:kern w:val="0"/>
          <w:lang w:val="en-US" w:eastAsia="zh-CN"/>
        </w:rPr>
        <w:t>第二十四条 加强公务用车使用管理，按照相关规定悬挂公务用车专用号牌段号牌，喷涂明显的统一标识。</w:t>
      </w:r>
    </w:p>
    <w:p>
      <w:pPr>
        <w:spacing w:line="320" w:lineRule="exact"/>
        <w:rPr>
          <w:rFonts w:hint="eastAsia"/>
          <w:kern w:val="0"/>
          <w:lang w:val="en-US" w:eastAsia="zh-CN"/>
        </w:rPr>
      </w:pPr>
      <w:r>
        <w:rPr>
          <w:rFonts w:hint="eastAsia"/>
          <w:kern w:val="0"/>
          <w:lang w:val="en-US" w:eastAsia="zh-CN"/>
        </w:rPr>
        <w:t>严格执行回单位或者其他指定地点停放制度，节假日期间除工作需要外应当封存停驶。</w:t>
      </w:r>
    </w:p>
    <w:p>
      <w:pPr>
        <w:spacing w:line="320" w:lineRule="exact"/>
        <w:rPr>
          <w:rFonts w:hint="eastAsia"/>
          <w:kern w:val="0"/>
          <w:lang w:val="en-US" w:eastAsia="zh-CN"/>
        </w:rPr>
      </w:pPr>
      <w:r>
        <w:rPr>
          <w:rFonts w:hint="eastAsia"/>
          <w:kern w:val="0"/>
          <w:lang w:val="en-US" w:eastAsia="zh-CN"/>
        </w:rPr>
        <w:t>严格公务用车使用登记和公示制度，严格登记和公示用车时间、事由、地点、里程、油耗、费用等信息，接受监督。</w:t>
      </w:r>
    </w:p>
    <w:p>
      <w:pPr>
        <w:spacing w:line="320" w:lineRule="exact"/>
        <w:rPr>
          <w:rFonts w:hint="eastAsia"/>
          <w:kern w:val="0"/>
          <w:lang w:val="en-US" w:eastAsia="zh-CN"/>
        </w:rPr>
      </w:pPr>
      <w:r>
        <w:rPr>
          <w:rFonts w:hint="eastAsia"/>
          <w:kern w:val="0"/>
          <w:lang w:val="en-US" w:eastAsia="zh-CN"/>
        </w:rPr>
        <w:t>第二十五条 加强福建省公务用车信息综合管理系统建设，健全公务用车油耗、运行费用单车核算和年度绩效评价制度，降低使用和维修保养成本，对公务用车实行动态管理。</w:t>
      </w:r>
    </w:p>
    <w:p>
      <w:pPr>
        <w:spacing w:line="320" w:lineRule="exact"/>
        <w:rPr>
          <w:rFonts w:hint="eastAsia"/>
          <w:kern w:val="0"/>
          <w:lang w:val="en-US" w:eastAsia="zh-CN"/>
        </w:rPr>
      </w:pPr>
      <w:r>
        <w:rPr>
          <w:rFonts w:hint="eastAsia"/>
          <w:kern w:val="0"/>
          <w:lang w:val="en-US" w:eastAsia="zh-CN"/>
        </w:rPr>
        <w:t>党政机关公务用车应当接入福建省公务用车信息综合管理系统，实行定点维修、定点加油、定点保险制度，按照相关规定统一加装北斗卫星定位车载终端。除实物保障岗位工作用车外，应当通过系统统筹调度使用。</w:t>
      </w:r>
    </w:p>
    <w:p>
      <w:pPr>
        <w:spacing w:line="320" w:lineRule="exact"/>
        <w:rPr>
          <w:rFonts w:hint="eastAsia"/>
          <w:kern w:val="0"/>
          <w:lang w:val="en-US" w:eastAsia="zh-CN"/>
        </w:rPr>
      </w:pPr>
      <w:r>
        <w:rPr>
          <w:rFonts w:hint="eastAsia"/>
          <w:kern w:val="0"/>
          <w:lang w:val="en-US" w:eastAsia="zh-CN"/>
        </w:rPr>
        <w:t>严禁向下属单位、企事业单位或者其他服务对象摊派、转嫁车辆运行费用。</w:t>
      </w:r>
    </w:p>
    <w:p>
      <w:pPr>
        <w:spacing w:line="320" w:lineRule="exact"/>
        <w:rPr>
          <w:rFonts w:hint="eastAsia"/>
          <w:kern w:val="0"/>
          <w:lang w:val="en-US" w:eastAsia="zh-CN"/>
        </w:rPr>
      </w:pPr>
      <w:r>
        <w:rPr>
          <w:rFonts w:hint="eastAsia"/>
          <w:kern w:val="0"/>
          <w:lang w:val="en-US" w:eastAsia="zh-CN"/>
        </w:rPr>
        <w:t>第二十六条 严格规范租车管理，原则上应当依据任务单元执行时间确定租车期限，不得长期固定租用。确因工作需要或者情况特殊需要长期租用的，应当经本级公务用车主管部门批准，不得变相增加公务用车，租赁车辆配置不得高于公务用车配备标准，纳入公务用车统一管理。租车经费不得超过公务用车制度改革确定的节支标准。</w:t>
      </w:r>
    </w:p>
    <w:p>
      <w:pPr>
        <w:spacing w:line="320" w:lineRule="exact"/>
        <w:rPr>
          <w:rFonts w:hint="eastAsia"/>
          <w:kern w:val="0"/>
          <w:lang w:val="en-US" w:eastAsia="zh-CN"/>
        </w:rPr>
      </w:pPr>
      <w:r>
        <w:rPr>
          <w:rFonts w:hint="eastAsia"/>
          <w:kern w:val="0"/>
          <w:lang w:val="en-US" w:eastAsia="zh-CN"/>
        </w:rPr>
        <w:t>第六章 会议活动</w:t>
      </w:r>
    </w:p>
    <w:p>
      <w:pPr>
        <w:spacing w:line="320" w:lineRule="exact"/>
        <w:rPr>
          <w:rFonts w:hint="eastAsia"/>
          <w:kern w:val="0"/>
          <w:lang w:val="en-US" w:eastAsia="zh-CN"/>
        </w:rPr>
      </w:pPr>
      <w:r>
        <w:rPr>
          <w:rFonts w:hint="eastAsia"/>
          <w:kern w:val="0"/>
          <w:lang w:val="en-US" w:eastAsia="zh-CN"/>
        </w:rPr>
        <w:t>第二十七条 严格控制会议活动经费。严禁会议以各种名义安排公款宴请、公款旅游、公款消费娱乐、公款发放纪念品。</w:t>
      </w:r>
    </w:p>
    <w:p>
      <w:pPr>
        <w:spacing w:line="320" w:lineRule="exact"/>
        <w:rPr>
          <w:rFonts w:hint="eastAsia"/>
          <w:kern w:val="0"/>
          <w:lang w:val="en-US" w:eastAsia="zh-CN"/>
        </w:rPr>
      </w:pPr>
      <w:r>
        <w:rPr>
          <w:rFonts w:hint="eastAsia"/>
          <w:kern w:val="0"/>
          <w:lang w:val="en-US" w:eastAsia="zh-CN"/>
        </w:rPr>
        <w:t>会议召开场所实行政府采购定点管理。会议住宿用房以标准间为主，房间不得额外分发水果、香烟及洗漱用品等；用餐安排自助餐或者工作餐，严禁提供高档菜肴，不上烟酒。严禁提高会议用餐、住宿标准。</w:t>
      </w:r>
    </w:p>
    <w:p>
      <w:pPr>
        <w:spacing w:line="320" w:lineRule="exact"/>
        <w:rPr>
          <w:rFonts w:hint="eastAsia"/>
          <w:kern w:val="0"/>
          <w:lang w:val="en-US" w:eastAsia="zh-CN"/>
        </w:rPr>
      </w:pPr>
      <w:r>
        <w:rPr>
          <w:rFonts w:hint="eastAsia"/>
          <w:kern w:val="0"/>
          <w:lang w:val="en-US" w:eastAsia="zh-CN"/>
        </w:rPr>
        <w:t>第二十八条 党政机关会议实行分类管理、分级审批。严格执行会议费开支范围、标准和报销制度，会议费报销时应当提供会议费预算单和结算单、会议审批文件、会议通知及实际参会人员签到表、饭店等会议服务单位提供的费用原始明细单据、电子结算单等凭证。</w:t>
      </w:r>
    </w:p>
    <w:p>
      <w:pPr>
        <w:spacing w:line="320" w:lineRule="exact"/>
        <w:rPr>
          <w:rFonts w:hint="eastAsia"/>
          <w:kern w:val="0"/>
          <w:lang w:val="en-US" w:eastAsia="zh-CN"/>
        </w:rPr>
      </w:pPr>
      <w:r>
        <w:rPr>
          <w:rFonts w:hint="eastAsia"/>
          <w:kern w:val="0"/>
          <w:lang w:val="en-US" w:eastAsia="zh-CN"/>
        </w:rPr>
        <w:t>第二十九条 各部门召开年度工作会议，每年不超过1次。省直各部门召开的全省性工作会议，只安排与会议内容密切相关的部门参加，人数不超过200人，时间原则上不超过1天。积极推广使用福建省数字会务云平台，运用现代信息技术手段改进会议形式，提高会议效率。全省性会议提倡采用加密电视电话会议、网络视频会议形式，一般不越级召开。</w:t>
      </w:r>
    </w:p>
    <w:p>
      <w:pPr>
        <w:spacing w:line="320" w:lineRule="exact"/>
        <w:rPr>
          <w:rFonts w:hint="eastAsia"/>
          <w:kern w:val="0"/>
          <w:lang w:val="en-US" w:eastAsia="zh-CN"/>
        </w:rPr>
      </w:pPr>
      <w:r>
        <w:rPr>
          <w:rFonts w:hint="eastAsia"/>
          <w:kern w:val="0"/>
          <w:lang w:val="en-US" w:eastAsia="zh-CN"/>
        </w:rPr>
        <w:t>第三十条 精简规范节庆展会论坛活动，实行清单管理，从严审批。严禁使用财政资金或者国有控股公司资金举办营业性文艺演出。</w:t>
      </w:r>
    </w:p>
    <w:p>
      <w:pPr>
        <w:spacing w:line="320" w:lineRule="exact"/>
        <w:rPr>
          <w:rFonts w:hint="eastAsia"/>
          <w:kern w:val="0"/>
          <w:lang w:val="en-US" w:eastAsia="zh-CN"/>
        </w:rPr>
      </w:pPr>
      <w:r>
        <w:rPr>
          <w:rFonts w:hint="eastAsia"/>
          <w:kern w:val="0"/>
          <w:lang w:val="en-US" w:eastAsia="zh-CN"/>
        </w:rPr>
        <w:t>经批准的节庆展会论坛、运动会、赛会等活动，应当严格控制规模和经费支出，不得互相攀比、大操大办、铺张浪费，不得违规摊派或者转嫁费用，不得借举办活动发放各类纪念品，不得违规使用财政资金邀请名人明星参与活动。举办活动应当充分使用现有资源，专门配备的设备在活动结束后应当及时收回，严禁购置奢华物资设备。</w:t>
      </w:r>
    </w:p>
    <w:p>
      <w:pPr>
        <w:spacing w:line="320" w:lineRule="exact"/>
        <w:rPr>
          <w:rFonts w:hint="eastAsia"/>
          <w:kern w:val="0"/>
          <w:lang w:val="en-US" w:eastAsia="zh-CN"/>
        </w:rPr>
      </w:pPr>
      <w:r>
        <w:rPr>
          <w:rFonts w:hint="eastAsia"/>
          <w:kern w:val="0"/>
          <w:lang w:val="en-US" w:eastAsia="zh-CN"/>
        </w:rPr>
        <w:t>第三十一条 严格控制和规范各类评比表彰和创建示范活动，实行清单管理、中央和省两级审批制度。未经审批的评比表彰和创建示范活动项目，一律不得举办，不得安排财政经费。参与评比表彰和创建示范活动的单位应当节俭办事，杜绝浪费，不得举债搞创建。</w:t>
      </w:r>
    </w:p>
    <w:p>
      <w:pPr>
        <w:spacing w:line="320" w:lineRule="exact"/>
        <w:rPr>
          <w:rFonts w:hint="eastAsia"/>
          <w:kern w:val="0"/>
          <w:lang w:val="en-US" w:eastAsia="zh-CN"/>
        </w:rPr>
      </w:pPr>
      <w:r>
        <w:rPr>
          <w:rFonts w:hint="eastAsia"/>
          <w:kern w:val="0"/>
          <w:lang w:val="en-US" w:eastAsia="zh-CN"/>
        </w:rPr>
        <w:t>大幅减少达标活动，实行清单管理，不得开展以乡镇（街道）、村（社区）、学校为对象的达标活动。</w:t>
      </w:r>
    </w:p>
    <w:p>
      <w:pPr>
        <w:spacing w:line="320" w:lineRule="exact"/>
        <w:rPr>
          <w:rFonts w:hint="eastAsia"/>
          <w:kern w:val="0"/>
          <w:lang w:val="en-US" w:eastAsia="zh-CN"/>
        </w:rPr>
      </w:pPr>
      <w:r>
        <w:rPr>
          <w:rFonts w:hint="eastAsia"/>
          <w:kern w:val="0"/>
          <w:lang w:val="en-US" w:eastAsia="zh-CN"/>
        </w:rPr>
        <w:t>第七章 办公用房</w:t>
      </w:r>
    </w:p>
    <w:p>
      <w:pPr>
        <w:spacing w:line="320" w:lineRule="exact"/>
        <w:rPr>
          <w:rFonts w:hint="eastAsia"/>
          <w:kern w:val="0"/>
          <w:lang w:val="en-US" w:eastAsia="zh-CN"/>
        </w:rPr>
      </w:pPr>
      <w:r>
        <w:rPr>
          <w:rFonts w:hint="eastAsia"/>
          <w:kern w:val="0"/>
          <w:lang w:val="en-US" w:eastAsia="zh-CN"/>
        </w:rPr>
        <w:t>第三十二条 党政机关办公用房建设应当从严控制。凡是违反规定的拟建办公用房项目，必须坚决终止。凡是未按照规定程序履行审批手续、擅自开工建设的办公用房项目，必须停建并予以没收；凡是超规模、超标准、超投资概算建设的办公用房项目，应当限期腾退超标准面积或者全部没收、拍卖；具体由机关事务管理部门会同发改、财政等部门提出处置意见报本级政府批准后实施。</w:t>
      </w:r>
    </w:p>
    <w:p>
      <w:pPr>
        <w:spacing w:line="320" w:lineRule="exact"/>
        <w:rPr>
          <w:rFonts w:hint="eastAsia"/>
          <w:kern w:val="0"/>
          <w:lang w:val="en-US" w:eastAsia="zh-CN"/>
        </w:rPr>
      </w:pPr>
      <w:r>
        <w:rPr>
          <w:rFonts w:hint="eastAsia"/>
          <w:kern w:val="0"/>
          <w:lang w:val="en-US" w:eastAsia="zh-CN"/>
        </w:rPr>
        <w:t>技术业务用房的维修、调配、处置等参照办公用房管理的相关规定执行。技术业务用房设置以中央有关文件、省委和省政府文件、项目批复为依据，没有文件依据的，原则上不得设置。</w:t>
      </w:r>
    </w:p>
    <w:p>
      <w:pPr>
        <w:spacing w:line="320" w:lineRule="exact"/>
        <w:rPr>
          <w:rFonts w:hint="eastAsia"/>
          <w:kern w:val="0"/>
          <w:lang w:val="en-US" w:eastAsia="zh-CN"/>
        </w:rPr>
      </w:pPr>
      <w:r>
        <w:rPr>
          <w:rFonts w:hint="eastAsia"/>
          <w:kern w:val="0"/>
          <w:lang w:val="en-US" w:eastAsia="zh-CN"/>
        </w:rPr>
        <w:t>第三十三条 党政机关新建、改建、扩建、购置、置换、维修改造、租用、借用办公用房，必须严格按照规定履行审批程序。采取置换方式配置办公用房的，应当执行新建办公用房各项标准，不得以未使用财政资金、资产整合等名义规避审批。无法调剂、置换、租用办公用房，或者涉及国家秘密、国家安全等特殊情况的，可以采取建设方式解决。办公用房建设项目申报前应当由同级机关事务管理部门出具必要性审查意见。</w:t>
      </w:r>
    </w:p>
    <w:p>
      <w:pPr>
        <w:spacing w:line="320" w:lineRule="exact"/>
        <w:rPr>
          <w:rFonts w:hint="eastAsia"/>
          <w:kern w:val="0"/>
          <w:lang w:val="en-US" w:eastAsia="zh-CN"/>
        </w:rPr>
      </w:pPr>
      <w:r>
        <w:rPr>
          <w:rFonts w:hint="eastAsia"/>
          <w:kern w:val="0"/>
          <w:lang w:val="en-US" w:eastAsia="zh-CN"/>
        </w:rPr>
        <w:t>第三十四条 办公用房因使用时间较长、设施设备老化、功能不全、存在安全隐患等原因，不能满足办公需求的，经适修性评估并报批后，可以进行维修改造。维修改造项目应当以消除安全隐患、恢复和完善使用功能、降低能源资源消耗为重点，坚持简洁适用原则，严格履行审批程序，严格执行维修改造标准，严禁超标准装修。</w:t>
      </w:r>
    </w:p>
    <w:p>
      <w:pPr>
        <w:spacing w:line="320" w:lineRule="exact"/>
        <w:rPr>
          <w:rFonts w:hint="eastAsia"/>
          <w:kern w:val="0"/>
          <w:lang w:val="en-US" w:eastAsia="zh-CN"/>
        </w:rPr>
      </w:pPr>
      <w:r>
        <w:rPr>
          <w:rFonts w:hint="eastAsia"/>
          <w:kern w:val="0"/>
          <w:lang w:val="en-US" w:eastAsia="zh-CN"/>
        </w:rPr>
        <w:t>第三十五条 建立健全办公用房集中统一管理制度，对办公用房实行统一规划、统一权属、统一配置、统一处置、统一监管。</w:t>
      </w:r>
    </w:p>
    <w:p>
      <w:pPr>
        <w:spacing w:line="320" w:lineRule="exact"/>
        <w:rPr>
          <w:rFonts w:hint="eastAsia"/>
          <w:kern w:val="0"/>
          <w:lang w:val="en-US" w:eastAsia="zh-CN"/>
        </w:rPr>
      </w:pPr>
      <w:r>
        <w:rPr>
          <w:rFonts w:hint="eastAsia"/>
          <w:kern w:val="0"/>
          <w:lang w:val="en-US" w:eastAsia="zh-CN"/>
        </w:rPr>
        <w:t>党政机关应当严格按照有关标准和“三定”规定，从严核定办公用房总面积上限，挂职、借调、聘用等人员不予核定。所属单位使用党政机关办公用房的，统一按照机关标准核定总面积。</w:t>
      </w:r>
    </w:p>
    <w:p>
      <w:pPr>
        <w:spacing w:line="320" w:lineRule="exact"/>
        <w:rPr>
          <w:rFonts w:hint="eastAsia"/>
          <w:kern w:val="0"/>
          <w:lang w:val="en-US" w:eastAsia="zh-CN"/>
        </w:rPr>
      </w:pPr>
      <w:r>
        <w:rPr>
          <w:rFonts w:hint="eastAsia"/>
          <w:kern w:val="0"/>
          <w:lang w:val="en-US" w:eastAsia="zh-CN"/>
        </w:rPr>
        <w:t>党政机关办公用房闲置的，应当在6个月内移交同级机关事务管理部门。机关事务管理部门按照规定，对闲置办公用房采取调剂使用、转换用途、置换、出租、拍卖或者协议转让、拆除等方式及时处置利用。处置利用党政机关办公用房，按照国有资产管理有关规定执行。</w:t>
      </w:r>
    </w:p>
    <w:p>
      <w:pPr>
        <w:spacing w:line="320" w:lineRule="exact"/>
        <w:rPr>
          <w:rFonts w:hint="eastAsia"/>
          <w:kern w:val="0"/>
          <w:lang w:val="en-US" w:eastAsia="zh-CN"/>
        </w:rPr>
      </w:pPr>
      <w:r>
        <w:rPr>
          <w:rFonts w:hint="eastAsia"/>
          <w:kern w:val="0"/>
          <w:lang w:val="en-US" w:eastAsia="zh-CN"/>
        </w:rPr>
        <w:t>第三十六条 机关事务管理部门负责指导监督用作党政机关办公用房的房屋使用安全管理，建立健全房屋安全日常监测报告、危险鉴定排查等管理制度。占有、使用属于国有资产房屋的党政机关是房屋使用安全责任人。房屋使用安全责任人要切实承担起房屋使用安全责任。</w:t>
      </w:r>
    </w:p>
    <w:p>
      <w:pPr>
        <w:spacing w:line="320" w:lineRule="exact"/>
        <w:rPr>
          <w:rFonts w:hint="eastAsia"/>
          <w:kern w:val="0"/>
          <w:lang w:val="en-US" w:eastAsia="zh-CN"/>
        </w:rPr>
      </w:pPr>
      <w:r>
        <w:rPr>
          <w:rFonts w:hint="eastAsia"/>
          <w:kern w:val="0"/>
          <w:lang w:val="en-US" w:eastAsia="zh-CN"/>
        </w:rPr>
        <w:t>第三十七条 党政机关领导干部应当按照标准配置使用一处办公用房。确因工作需要另行配置办公用房的，应当严格履行审批程序；其中各级党政主要负责同志报上一级党委和政府办公厅（室）审批，其他党政负责同志报本级党政主要负责同志审批；各部门主要负责同志报本级党委和政府办公厅（室）审批；部门其他负责同志报本部门主要负责同志审批。</w:t>
      </w:r>
    </w:p>
    <w:p>
      <w:pPr>
        <w:spacing w:line="320" w:lineRule="exact"/>
        <w:rPr>
          <w:rFonts w:hint="eastAsia"/>
          <w:kern w:val="0"/>
          <w:lang w:val="en-US" w:eastAsia="zh-CN"/>
        </w:rPr>
      </w:pPr>
      <w:r>
        <w:rPr>
          <w:rFonts w:hint="eastAsia"/>
          <w:kern w:val="0"/>
          <w:lang w:val="en-US" w:eastAsia="zh-CN"/>
        </w:rPr>
        <w:t>领导干部不得租用宾馆、酒店房间作为办公用房。配置使用的办公用房，在退休或者调离时应当在办理退休或者调离手续后1个月内腾退并由原单位收回。</w:t>
      </w:r>
    </w:p>
    <w:p>
      <w:pPr>
        <w:spacing w:line="320" w:lineRule="exact"/>
        <w:rPr>
          <w:rFonts w:hint="eastAsia"/>
          <w:kern w:val="0"/>
          <w:lang w:val="en-US" w:eastAsia="zh-CN"/>
        </w:rPr>
      </w:pPr>
      <w:r>
        <w:rPr>
          <w:rFonts w:hint="eastAsia"/>
          <w:kern w:val="0"/>
          <w:lang w:val="en-US" w:eastAsia="zh-CN"/>
        </w:rPr>
        <w:t>超标办公用房整改优先采取调换或者合用方式。无法通过调换或者合用方式整改的，经同级机关事务管理部门审核同意，可以采取工程改造方式整改。工程改造方案应当简易、合理、厉行节约，多出的办公用房面积公用，不得直接隔断封死，不得通过不合理扩大走廊宽度等方式造成新的浪费，也不得将大间分隔成若干小间但所有房间仍由领导干部个人专用。</w:t>
      </w:r>
    </w:p>
    <w:p>
      <w:pPr>
        <w:spacing w:line="320" w:lineRule="exact"/>
        <w:rPr>
          <w:rFonts w:hint="eastAsia"/>
          <w:kern w:val="0"/>
          <w:lang w:val="en-US" w:eastAsia="zh-CN"/>
        </w:rPr>
      </w:pPr>
      <w:r>
        <w:rPr>
          <w:rFonts w:hint="eastAsia"/>
          <w:kern w:val="0"/>
          <w:lang w:val="en-US" w:eastAsia="zh-CN"/>
        </w:rPr>
        <w:t>第八章 资源节约</w:t>
      </w:r>
    </w:p>
    <w:p>
      <w:pPr>
        <w:spacing w:line="320" w:lineRule="exact"/>
        <w:rPr>
          <w:rFonts w:hint="eastAsia"/>
          <w:kern w:val="0"/>
          <w:lang w:val="en-US" w:eastAsia="zh-CN"/>
        </w:rPr>
      </w:pPr>
      <w:r>
        <w:rPr>
          <w:rFonts w:hint="eastAsia"/>
          <w:kern w:val="0"/>
          <w:lang w:val="en-US" w:eastAsia="zh-CN"/>
        </w:rPr>
        <w:t>第三十八条 党政机关应当建立能源、水的消费计量、统计、通报制度。严格按照规范配备计量器具，实行能源和水分户、分类、分项计量，建设节约型机关、节水型单位。</w:t>
      </w:r>
    </w:p>
    <w:p>
      <w:pPr>
        <w:spacing w:line="320" w:lineRule="exact"/>
        <w:rPr>
          <w:rFonts w:hint="eastAsia"/>
          <w:kern w:val="0"/>
          <w:lang w:val="en-US" w:eastAsia="zh-CN"/>
        </w:rPr>
      </w:pPr>
      <w:r>
        <w:rPr>
          <w:rFonts w:hint="eastAsia"/>
          <w:kern w:val="0"/>
          <w:lang w:val="en-US" w:eastAsia="zh-CN"/>
        </w:rPr>
        <w:t>严格执行节能产品政府强制采购和优先采购制度。</w:t>
      </w:r>
    </w:p>
    <w:p>
      <w:pPr>
        <w:spacing w:line="320" w:lineRule="exact"/>
        <w:rPr>
          <w:rFonts w:hint="eastAsia"/>
          <w:kern w:val="0"/>
          <w:lang w:val="en-US" w:eastAsia="zh-CN"/>
        </w:rPr>
      </w:pPr>
      <w:r>
        <w:rPr>
          <w:rFonts w:hint="eastAsia"/>
          <w:kern w:val="0"/>
          <w:lang w:val="en-US" w:eastAsia="zh-CN"/>
        </w:rPr>
        <w:t>第三十九条 对能源、水的使用实行分类定额，推行双控与分类定额相结合的目标责任管理，推广应用节能新技术新产品，淘汰高耗能设施设备，重点推广应用新能源和可再生能源。鼓励和支持采用能源费用托管等合同能源管理服务模式，调动社会资本参与节约能源资源工作。</w:t>
      </w:r>
    </w:p>
    <w:p>
      <w:pPr>
        <w:spacing w:line="320" w:lineRule="exact"/>
        <w:rPr>
          <w:rFonts w:hint="eastAsia"/>
          <w:kern w:val="0"/>
          <w:lang w:val="en-US" w:eastAsia="zh-CN"/>
        </w:rPr>
      </w:pPr>
      <w:r>
        <w:rPr>
          <w:rFonts w:hint="eastAsia"/>
          <w:kern w:val="0"/>
          <w:lang w:val="en-US" w:eastAsia="zh-CN"/>
        </w:rPr>
        <w:t>第四十条 党政机关应当带头开展粮食节约行动，落实反食品浪费管理责任，加强机关食堂反食品浪费工作成效评估和通报，杜绝餐饮浪费。倡导绿色食堂建设。</w:t>
      </w:r>
    </w:p>
    <w:p>
      <w:pPr>
        <w:spacing w:line="320" w:lineRule="exact"/>
        <w:rPr>
          <w:rFonts w:hint="eastAsia"/>
          <w:kern w:val="0"/>
          <w:lang w:val="en-US" w:eastAsia="zh-CN"/>
        </w:rPr>
      </w:pPr>
      <w:r>
        <w:rPr>
          <w:rFonts w:hint="eastAsia"/>
          <w:kern w:val="0"/>
          <w:lang w:val="en-US" w:eastAsia="zh-CN"/>
        </w:rPr>
        <w:t>第四十一条 健全完善办公家具、办公设备配置标准，优化资产配置和使用，从严控制新增资产配置，优先调剂盘活存量资产，节约购置资金。对未规定配置标准的资产，应当结合单位履职需要、存量资产状况和财力等情况从严配置。</w:t>
      </w:r>
    </w:p>
    <w:p>
      <w:pPr>
        <w:spacing w:line="320" w:lineRule="exact"/>
        <w:rPr>
          <w:rFonts w:hint="eastAsia"/>
          <w:kern w:val="0"/>
          <w:lang w:val="en-US" w:eastAsia="zh-CN"/>
        </w:rPr>
      </w:pPr>
      <w:r>
        <w:rPr>
          <w:rFonts w:hint="eastAsia"/>
          <w:kern w:val="0"/>
          <w:lang w:val="en-US" w:eastAsia="zh-CN"/>
        </w:rPr>
        <w:t>加强办公设备运行管理，减少待机能耗。严格执行空调温度控制标准，推广使用节能照明灯具。</w:t>
      </w:r>
    </w:p>
    <w:p>
      <w:pPr>
        <w:spacing w:line="320" w:lineRule="exact"/>
        <w:rPr>
          <w:rFonts w:hint="eastAsia"/>
          <w:kern w:val="0"/>
          <w:lang w:val="en-US" w:eastAsia="zh-CN"/>
        </w:rPr>
      </w:pPr>
      <w:r>
        <w:rPr>
          <w:rFonts w:hint="eastAsia"/>
          <w:kern w:val="0"/>
          <w:lang w:val="en-US" w:eastAsia="zh-CN"/>
        </w:rPr>
        <w:t>第四十二条 政务服务大厅应当严格落实进驻事项负面清单制度，合理优化归并服务窗口，科学配置设施设备，不断提升政务服务标准化、规范化、便利化水平。</w:t>
      </w:r>
    </w:p>
    <w:p>
      <w:pPr>
        <w:spacing w:line="320" w:lineRule="exact"/>
        <w:rPr>
          <w:rFonts w:hint="eastAsia"/>
          <w:kern w:val="0"/>
          <w:lang w:val="en-US" w:eastAsia="zh-CN"/>
        </w:rPr>
      </w:pPr>
      <w:r>
        <w:rPr>
          <w:rFonts w:hint="eastAsia"/>
          <w:kern w:val="0"/>
          <w:lang w:val="en-US" w:eastAsia="zh-CN"/>
        </w:rPr>
        <w:t>第四十三条 健全政务信息共享机制，实现政务信息系统和技术支撑力量整合，推动重要政务信息系统互联互通、信息共享和业务协同，降低软件开发、系统维护和升级等方面费用，防止资源浪费。</w:t>
      </w:r>
    </w:p>
    <w:p>
      <w:pPr>
        <w:spacing w:line="320" w:lineRule="exact"/>
        <w:rPr>
          <w:rFonts w:hint="eastAsia"/>
          <w:kern w:val="0"/>
          <w:lang w:val="en-US" w:eastAsia="zh-CN"/>
        </w:rPr>
      </w:pPr>
      <w:r>
        <w:rPr>
          <w:rFonts w:hint="eastAsia"/>
          <w:kern w:val="0"/>
          <w:lang w:val="en-US" w:eastAsia="zh-CN"/>
        </w:rPr>
        <w:t>第九章 宣传教育</w:t>
      </w:r>
    </w:p>
    <w:p>
      <w:pPr>
        <w:spacing w:line="320" w:lineRule="exact"/>
        <w:rPr>
          <w:rFonts w:hint="eastAsia"/>
          <w:kern w:val="0"/>
          <w:lang w:val="en-US" w:eastAsia="zh-CN"/>
        </w:rPr>
      </w:pPr>
      <w:r>
        <w:rPr>
          <w:rFonts w:hint="eastAsia"/>
          <w:kern w:val="0"/>
          <w:lang w:val="en-US" w:eastAsia="zh-CN"/>
        </w:rPr>
        <w:t>第四十四条 宣传部门应当把厉行节约反对浪费作为重要宣传内容，充分发挥各级各类媒体作用，注重用好互联网技术和新媒体手段，通过新闻报道、文化作品、公益广告等形式，广泛宣传中华民族勤俭节约的优秀品德，宣传阐释相关制度规定，宣传推广厉行节约的经验做法和先进典型，倡导绿色低碳消费理念和健康文明生活方式，在全社会营造浪费可耻、节约光荣的浓厚社会氛围。</w:t>
      </w:r>
    </w:p>
    <w:p>
      <w:pPr>
        <w:spacing w:line="320" w:lineRule="exact"/>
        <w:rPr>
          <w:rFonts w:hint="eastAsia"/>
          <w:kern w:val="0"/>
          <w:lang w:val="en-US" w:eastAsia="zh-CN"/>
        </w:rPr>
      </w:pPr>
      <w:r>
        <w:rPr>
          <w:rFonts w:hint="eastAsia"/>
          <w:kern w:val="0"/>
          <w:lang w:val="en-US" w:eastAsia="zh-CN"/>
        </w:rPr>
        <w:t>第四十五条 党政机关应当把加强厉行节约反对浪费教育作为作风建设的重要内容，融入干部队伍建设和机关日常管理之中，建立健全常态化工作机制。对各种铺张浪费现象和行为，应当严肃批评、督促改正。</w:t>
      </w:r>
    </w:p>
    <w:p>
      <w:pPr>
        <w:spacing w:line="320" w:lineRule="exact"/>
        <w:rPr>
          <w:rFonts w:hint="eastAsia"/>
          <w:kern w:val="0"/>
          <w:lang w:val="en-US" w:eastAsia="zh-CN"/>
        </w:rPr>
      </w:pPr>
      <w:r>
        <w:rPr>
          <w:rFonts w:hint="eastAsia"/>
          <w:kern w:val="0"/>
          <w:lang w:val="en-US" w:eastAsia="zh-CN"/>
        </w:rPr>
        <w:t>党校（行政学院）、干部学院等干部教育培训机构应当把厉行节约反对浪费纳入教学课程。</w:t>
      </w:r>
    </w:p>
    <w:p>
      <w:pPr>
        <w:spacing w:line="320" w:lineRule="exact"/>
        <w:rPr>
          <w:rFonts w:hint="eastAsia"/>
          <w:kern w:val="0"/>
          <w:lang w:val="en-US" w:eastAsia="zh-CN"/>
        </w:rPr>
      </w:pPr>
      <w:r>
        <w:rPr>
          <w:rFonts w:hint="eastAsia"/>
          <w:kern w:val="0"/>
          <w:lang w:val="en-US" w:eastAsia="zh-CN"/>
        </w:rPr>
        <w:t>第十章 监督追责</w:t>
      </w:r>
    </w:p>
    <w:p>
      <w:pPr>
        <w:spacing w:line="320" w:lineRule="exact"/>
        <w:rPr>
          <w:rFonts w:hint="eastAsia"/>
          <w:kern w:val="0"/>
          <w:lang w:val="en-US" w:eastAsia="zh-CN"/>
        </w:rPr>
      </w:pPr>
      <w:r>
        <w:rPr>
          <w:rFonts w:hint="eastAsia"/>
          <w:kern w:val="0"/>
          <w:lang w:val="en-US" w:eastAsia="zh-CN"/>
        </w:rPr>
        <w:t>第四十六条 各级党委和政府应当建立健全厉行节约反对浪费监督检查机制，加大监督力度。</w:t>
      </w:r>
    </w:p>
    <w:p>
      <w:pPr>
        <w:spacing w:line="320" w:lineRule="exact"/>
        <w:rPr>
          <w:rFonts w:hint="eastAsia"/>
          <w:kern w:val="0"/>
          <w:lang w:val="en-US" w:eastAsia="zh-CN"/>
        </w:rPr>
      </w:pPr>
      <w:r>
        <w:rPr>
          <w:rFonts w:hint="eastAsia"/>
          <w:kern w:val="0"/>
          <w:lang w:val="en-US" w:eastAsia="zh-CN"/>
        </w:rPr>
        <w:t>党委和政府办公厅（室）负责统筹协调有关部门开展对厉行节约反对浪费工作的督促检查，针对突出问题开展重点检查、暗访等专项活动，加大对典型问题的通报力度。督促检查可以与全面从严治党主体责任落实情况检查等相结合，督促检查结果应当按照干部管理权限送纪检监察机关和组织人事部门，作为干部管理监督、选拔任用以及绩效考评等参考依据。</w:t>
      </w:r>
    </w:p>
    <w:p>
      <w:pPr>
        <w:spacing w:line="320" w:lineRule="exact"/>
        <w:rPr>
          <w:rFonts w:hint="eastAsia"/>
          <w:kern w:val="0"/>
          <w:lang w:val="en-US" w:eastAsia="zh-CN"/>
        </w:rPr>
      </w:pPr>
      <w:r>
        <w:rPr>
          <w:rFonts w:hint="eastAsia"/>
          <w:kern w:val="0"/>
          <w:lang w:val="en-US" w:eastAsia="zh-CN"/>
        </w:rPr>
        <w:t>机关效能建设工作机构应当将厉行节约反对浪费作为机关效能建设工作的重要内容,加强对厉行节约反对浪费工作的跟踪督查、投诉受理，推动各级机关严格贯彻落实《条例》规定。</w:t>
      </w:r>
    </w:p>
    <w:p>
      <w:pPr>
        <w:spacing w:line="320" w:lineRule="exact"/>
        <w:rPr>
          <w:rFonts w:hint="eastAsia"/>
          <w:kern w:val="0"/>
          <w:lang w:val="en-US" w:eastAsia="zh-CN"/>
        </w:rPr>
      </w:pPr>
      <w:r>
        <w:rPr>
          <w:rFonts w:hint="eastAsia"/>
          <w:kern w:val="0"/>
          <w:lang w:val="en-US" w:eastAsia="zh-CN"/>
        </w:rPr>
        <w:t>第四十七条 党政机关工作人员违反规定造成浪费的，根据情节轻重，依规依纪依法给予批评教育、责令检查、诫勉、组织处理或者党纪政务处分。</w:t>
      </w:r>
    </w:p>
    <w:p>
      <w:pPr>
        <w:spacing w:line="320" w:lineRule="exact"/>
        <w:rPr>
          <w:rFonts w:hint="eastAsia"/>
          <w:kern w:val="0"/>
          <w:lang w:val="en-US" w:eastAsia="zh-CN"/>
        </w:rPr>
      </w:pPr>
      <w:r>
        <w:rPr>
          <w:rFonts w:hint="eastAsia"/>
          <w:kern w:val="0"/>
          <w:lang w:val="en-US" w:eastAsia="zh-CN"/>
        </w:rPr>
        <w:t>应当进行效能问责的，依照《福建省机关效能建设工作条例》相关规定，给予相应的效能问责。</w:t>
      </w:r>
    </w:p>
    <w:p>
      <w:pPr>
        <w:spacing w:line="320" w:lineRule="exact"/>
        <w:rPr>
          <w:rFonts w:hint="eastAsia"/>
          <w:kern w:val="0"/>
          <w:lang w:val="en-US" w:eastAsia="zh-CN"/>
        </w:rPr>
      </w:pPr>
      <w:r>
        <w:rPr>
          <w:rFonts w:hint="eastAsia"/>
          <w:kern w:val="0"/>
          <w:lang w:val="en-US" w:eastAsia="zh-CN"/>
        </w:rPr>
        <w:t>第四十八条 违反《条例》和本实施细则规定获得的经济利益，应当依规依纪依法予以没收、追缴或者责令退赔。</w:t>
      </w:r>
    </w:p>
    <w:p>
      <w:pPr>
        <w:spacing w:line="320" w:lineRule="exact"/>
        <w:rPr>
          <w:rFonts w:hint="eastAsia"/>
          <w:kern w:val="0"/>
          <w:lang w:val="en-US" w:eastAsia="zh-CN"/>
        </w:rPr>
      </w:pPr>
      <w:r>
        <w:rPr>
          <w:rFonts w:hint="eastAsia"/>
          <w:kern w:val="0"/>
          <w:lang w:val="en-US" w:eastAsia="zh-CN"/>
        </w:rPr>
        <w:t>第十一章 附 则</w:t>
      </w:r>
    </w:p>
    <w:p>
      <w:pPr>
        <w:spacing w:line="320" w:lineRule="exact"/>
        <w:rPr>
          <w:rFonts w:hint="eastAsia"/>
          <w:kern w:val="0"/>
          <w:lang w:val="en-US" w:eastAsia="zh-CN"/>
        </w:rPr>
      </w:pPr>
      <w:r>
        <w:rPr>
          <w:rFonts w:hint="eastAsia"/>
          <w:kern w:val="0"/>
          <w:lang w:val="en-US" w:eastAsia="zh-CN"/>
        </w:rPr>
        <w:t>第四十九条 国有企业、国有金融企业、不参照公务员法管理的事业单位，参照本实施细则执行。</w:t>
      </w:r>
    </w:p>
    <w:p>
      <w:pPr>
        <w:spacing w:line="320" w:lineRule="exact"/>
        <w:rPr>
          <w:rFonts w:hint="eastAsia"/>
          <w:kern w:val="0"/>
          <w:lang w:val="en-US" w:eastAsia="zh-CN"/>
        </w:rPr>
      </w:pPr>
      <w:r>
        <w:rPr>
          <w:rFonts w:hint="eastAsia"/>
          <w:kern w:val="0"/>
          <w:lang w:val="en-US" w:eastAsia="zh-CN"/>
        </w:rPr>
        <w:t>第五十条 本实施细则具体解释工作由省委办公厅、省政府办公厅会同有关部门承担。</w:t>
      </w:r>
    </w:p>
    <w:p>
      <w:pPr>
        <w:spacing w:line="320" w:lineRule="exact"/>
        <w:rPr>
          <w:rFonts w:hint="eastAsia"/>
          <w:kern w:val="0"/>
          <w:lang w:val="en-US" w:eastAsia="zh-CN"/>
        </w:rPr>
      </w:pPr>
      <w:r>
        <w:rPr>
          <w:rFonts w:hint="eastAsia"/>
          <w:kern w:val="0"/>
          <w:lang w:val="en-US" w:eastAsia="zh-CN"/>
        </w:rPr>
        <w:t>第五十一条 本实施细则自发布之日起施行。此前我省发布的其他有关党政机关厉行节约反对浪费的规定，凡与本实施细则不一致的，按照本实施细则执行。</w:t>
      </w:r>
    </w:p>
    <w:p>
      <w:pPr>
        <w:spacing w:line="320" w:lineRule="exact"/>
        <w:rPr>
          <w:rFonts w:hint="eastAsia"/>
          <w:kern w:val="0"/>
          <w:lang w:val="en-US" w:eastAsia="zh-CN"/>
        </w:rPr>
      </w:pPr>
      <w:r>
        <w:rPr>
          <w:rFonts w:hint="eastAsia"/>
          <w:kern w:val="0"/>
          <w:lang w:val="en-US" w:eastAsia="zh-CN"/>
        </w:rPr>
        <w:t>（来源：福建日报）</w:t>
      </w:r>
    </w:p>
    <w:p>
      <w:pPr>
        <w:spacing w:line="320" w:lineRule="exact"/>
        <w:rPr>
          <w:rFonts w:hint="eastAsia"/>
          <w:kern w:val="0"/>
          <w:lang w:val="en-US" w:eastAsia="zh-CN"/>
        </w:rPr>
      </w:pPr>
      <w:r>
        <w:rPr>
          <w:rFonts w:hint="eastAsia"/>
          <w:kern w:val="0"/>
          <w:lang w:val="en-US" w:eastAsia="zh-CN"/>
        </w:rPr>
        <w:br w:type="page"/>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微软雅黑" w:hAnsi="微软雅黑" w:eastAsia="微软雅黑" w:cs="微软雅黑"/>
          <w:b/>
          <w:i w:val="0"/>
          <w:caps w:val="0"/>
          <w:spacing w:val="8"/>
          <w:sz w:val="33"/>
          <w:szCs w:val="33"/>
          <w:shd w:val="clear" w:fill="FFFFFF"/>
          <w:lang w:val="en-US" w:eastAsia="zh-CN"/>
        </w:rPr>
      </w:pPr>
      <w:r>
        <w:rPr>
          <w:rFonts w:hint="eastAsia" w:ascii="微软雅黑" w:hAnsi="微软雅黑" w:eastAsia="微软雅黑" w:cs="微软雅黑"/>
          <w:b/>
          <w:i w:val="0"/>
          <w:caps w:val="0"/>
          <w:spacing w:val="8"/>
          <w:sz w:val="33"/>
          <w:szCs w:val="33"/>
          <w:shd w:val="clear" w:fill="FFFFFF"/>
          <w:lang w:val="en-US" w:eastAsia="zh-CN"/>
        </w:rPr>
        <w:t>省委经济工作会议在榕召开</w:t>
      </w:r>
    </w:p>
    <w:p>
      <w:pPr>
        <w:keepNext w:val="0"/>
        <w:keepLines w:val="0"/>
        <w:pageBreakBefore w:val="0"/>
        <w:widowControl w:val="0"/>
        <w:kinsoku/>
        <w:wordWrap/>
        <w:overflowPunct/>
        <w:topLinePunct w:val="0"/>
        <w:autoSpaceDE/>
        <w:autoSpaceDN/>
        <w:bidi w:val="0"/>
        <w:adjustRightInd/>
        <w:snapToGrid/>
        <w:spacing w:line="320" w:lineRule="exact"/>
        <w:ind w:firstLine="442" w:firstLineChars="200"/>
        <w:textAlignment w:val="auto"/>
        <w:outlineLvl w:val="9"/>
        <w:rPr>
          <w:rFonts w:hint="eastAsia"/>
          <w:b/>
          <w:bCs/>
          <w:kern w:val="0"/>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firstLine="442" w:firstLineChars="200"/>
        <w:textAlignment w:val="auto"/>
        <w:outlineLvl w:val="9"/>
        <w:rPr>
          <w:rFonts w:hint="eastAsia"/>
          <w:b/>
          <w:bCs/>
          <w:kern w:val="0"/>
          <w:lang w:val="en-US" w:eastAsia="zh-CN"/>
        </w:rPr>
      </w:pPr>
      <w:r>
        <w:rPr>
          <w:rFonts w:hint="eastAsia"/>
          <w:b/>
          <w:bCs/>
          <w:kern w:val="0"/>
          <w:lang w:val="en-US" w:eastAsia="zh-CN"/>
        </w:rPr>
        <w:t>省委经济工作会议在榕召开</w:t>
      </w:r>
    </w:p>
    <w:p>
      <w:pPr>
        <w:keepNext w:val="0"/>
        <w:keepLines w:val="0"/>
        <w:pageBreakBefore w:val="0"/>
        <w:widowControl w:val="0"/>
        <w:kinsoku/>
        <w:wordWrap/>
        <w:overflowPunct/>
        <w:topLinePunct w:val="0"/>
        <w:autoSpaceDE/>
        <w:autoSpaceDN/>
        <w:bidi w:val="0"/>
        <w:adjustRightInd/>
        <w:snapToGrid/>
        <w:spacing w:line="320" w:lineRule="exact"/>
        <w:ind w:firstLine="442" w:firstLineChars="200"/>
        <w:textAlignment w:val="auto"/>
        <w:outlineLvl w:val="9"/>
        <w:rPr>
          <w:rFonts w:hint="eastAsia"/>
          <w:b/>
          <w:bCs/>
          <w:kern w:val="0"/>
          <w:lang w:val="en-US" w:eastAsia="zh-CN"/>
        </w:rPr>
      </w:pPr>
      <w:r>
        <w:rPr>
          <w:rFonts w:hint="eastAsia"/>
          <w:b/>
          <w:bCs/>
          <w:kern w:val="0"/>
          <w:lang w:val="en-US" w:eastAsia="zh-CN"/>
        </w:rPr>
        <w:t>稳中求进提质增效 敢为人先真抓实干</w:t>
      </w:r>
    </w:p>
    <w:p>
      <w:pPr>
        <w:keepNext w:val="0"/>
        <w:keepLines w:val="0"/>
        <w:pageBreakBefore w:val="0"/>
        <w:widowControl w:val="0"/>
        <w:kinsoku/>
        <w:wordWrap/>
        <w:overflowPunct/>
        <w:topLinePunct w:val="0"/>
        <w:autoSpaceDE/>
        <w:autoSpaceDN/>
        <w:bidi w:val="0"/>
        <w:adjustRightInd/>
        <w:snapToGrid/>
        <w:spacing w:line="320" w:lineRule="exact"/>
        <w:ind w:firstLine="442" w:firstLineChars="200"/>
        <w:textAlignment w:val="auto"/>
        <w:outlineLvl w:val="9"/>
        <w:rPr>
          <w:rFonts w:hint="eastAsia"/>
          <w:b/>
          <w:bCs/>
          <w:kern w:val="0"/>
          <w:lang w:val="en-US" w:eastAsia="zh-CN"/>
        </w:rPr>
      </w:pPr>
      <w:r>
        <w:rPr>
          <w:rFonts w:hint="eastAsia"/>
          <w:b/>
          <w:bCs/>
          <w:kern w:val="0"/>
          <w:lang w:val="en-US" w:eastAsia="zh-CN"/>
        </w:rPr>
        <w:t>确保“十五五”开好局起好步</w:t>
      </w:r>
    </w:p>
    <w:p>
      <w:pPr>
        <w:keepNext w:val="0"/>
        <w:keepLines w:val="0"/>
        <w:pageBreakBefore w:val="0"/>
        <w:widowControl w:val="0"/>
        <w:kinsoku/>
        <w:wordWrap/>
        <w:overflowPunct/>
        <w:topLinePunct w:val="0"/>
        <w:autoSpaceDE/>
        <w:autoSpaceDN/>
        <w:bidi w:val="0"/>
        <w:adjustRightInd/>
        <w:snapToGrid/>
        <w:spacing w:line="320" w:lineRule="exact"/>
        <w:ind w:firstLine="442" w:firstLineChars="200"/>
        <w:textAlignment w:val="auto"/>
        <w:outlineLvl w:val="9"/>
        <w:rPr>
          <w:rFonts w:hint="eastAsia"/>
          <w:b/>
          <w:bCs/>
          <w:kern w:val="0"/>
          <w:lang w:val="en-US" w:eastAsia="zh-CN"/>
        </w:rPr>
      </w:pPr>
      <w:r>
        <w:rPr>
          <w:rFonts w:hint="eastAsia"/>
          <w:b/>
          <w:bCs/>
          <w:kern w:val="0"/>
          <w:lang w:val="en-US" w:eastAsia="zh-CN"/>
        </w:rPr>
        <w:t>周祖翼主持并讲话 赵龙作会议总结 滕佳材郭宁宁出席</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12月25日，省委经济工作会议在福州召开。会议以习近平新时代中国特色社会主义思想为指导，全面贯彻落实党的二十大和二十届历次全会精神，深入学习贯彻习近平总书记在福建考察时的重要讲话精神，按照中央经济工作会议部署，落实省委十一届八次、九次全会要求，总结2025年全省经济工作，分析当前经济形势，部署2026年经济工作。省委书记周祖翼主持并讲话。省委副书记、省长赵龙作会议总结。省政协主席滕佳材，省委副书记、福州市委书记郭宁宁出席。</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会议充分肯定了今年全省发展取得的成绩。会议指出，一年来，全省上下紧紧围绕“奋勇争先、再上台阶”推进工作，持续深化拓展“深学争优、敢为争先、实干争效”行动，全方位推动高质量发展，经济运行顶压前行，新质生产力稳步发展，改革开放持续深化，两岸融合发展示范区加紧建设，民生福祉不断增进。五年来，全省干部群众团结一心、攻坚克难，在第二个百年奋斗目标新征程中实现良好开局。这些成绩的取得，根本在于习近平总书记领航掌舵，在于习近平新时代中国特色社会主义思想科学指引，充分彰显了“两个确立”的决定性意义。在“十五五”开局之年，要全面、辩证、长远地看待经济形势，发扬“敢为人先、爱拼会赢”的拼搏精神，坚定信心、用好优势，保持清醒、应对挑战，巩固拓展经济稳中向好势头，不断开创新福建建设新局面。</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会议强调，抓好明年经济工作，必须以习近平新时代中国特色社会主义思想为指导，深入贯彻党的二十大和二十届历次全会以及中央经济工作会议精神，全面落实习近平总书记对福建工作的重要讲话重要指示批示精神，完整准确全面贯彻新发展理念，积极服务和深度融入新发展格局，全方位推动高质量发展，坚持稳中求进工作总基调，把提质增效摆在更加突出位置，更好担起经济大省挑大梁责任，更好统筹发展和安全，增强政策前瞻性针对性协同性，持续扩大内需、优化供给，做优增量、盘活存量，因地制宜发展新质生产力，主动融入全国统一大市场建设，高质量推进两岸融合发展示范区建设，持续防范化解重点领域风险，着力稳就业、稳企业、稳市场、稳预期，推动经济实现质的有效提升和量的合理增长，保持社会和谐稳定，实现“十五五”良好开局。</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会议强调，要牢牢把握发展大势、巩固拓展发展态势、加快形成发展胜势、持续鼓足发展气势，聚焦关键领域，全力以赴抓好明年经济工作的重点任务。</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紧扣深挖内需潜力，加力提振消费和扩大有效投资。出实招出新招提振消费，持续开展“全闽乐购”促消费系列活动，深入实施服务消费提质惠民行动、全域文旅提升战略，深入清理消费领域不合理限制措施，积极开展消费新业态新模式新场景、国际化消费环境试点建设。综合施策稳定投资增长，强化项目谋划储备，充分发挥重大项目牵引带动作用，把投资于物和投资于人紧密结合起来，有效带动各类投资增长，以更实举措增强民间投资信心。</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紧扣巩固实体根基，持续推动科技创新和产业创新深度融合。坚持内外兼修，更好发挥科技创新支撑作用。围绕内强体系，提高科技创新整体效能，围绕外链资源，在更大范围集聚和用好创新要素。坚持强基固本，更好发挥先进制造业骨干作用。加快打造“555X”产业集群，统筹实施新一轮重点产业链高质量发展行动、产业创新工程、未来产业孵化加速行动，因地制宜推进链群建设，做大做强县域重点产业链，理顺开发区管理体制机制，实施服务业扩能提质行动，深化拓展“人工智能+”，加快数智全面赋能实体经济。</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紧扣增强发展活力，加快经济体制改革攻坚突破。主动融入全国统一大市场建设，严格落实“全国一张清单”管理模式，健全招商引资制度，完善要素市场化配置体制机制。充分激发各类经营主体活力，实施新一轮国有企业改革专项行动，纵深推进新时代民营经济强省战略，加快打造一流营商环境。统筹推进重点领域和关键环节改革，持续深化“一市一试点、一县一特色”专项改革，支持鼓励基层探索更多原创性、差异化改革。</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紧扣拓展发展空间，进一步扩大高水平对外开放。稳住外贸外资基本盘，深化“福品销全球”系列活动，推动出口市场多元化，推进贸易投资一体化、内外贸一体化发展，促进新业态新模式规范健康发展。持续提升投洽会等平台效能，继续打造“投资福建”品牌。加快构建开放型经济新体制，稳步推进制度型开放，深入实施自贸试验区提升战略，高质量推进21世纪海上丝绸之路核心区建设，深化港口资源整合，做深做实新时代侨务工作。</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紧扣服务对台大局，高质量推进两岸融合发展示范区建设。持续完善重点政策，推动完善闽台融合发展政策体系。持续拓展重点领域，提升经贸、社会、情感融合度，深化闽台优势产业合作，探索建设两岸共同市场先行区域，优化台胞在闽求学研习、就业创业等制度安排，吸引更多台湾青年、“首来族”等群体来闽交流。持续攻坚重点区域，支持各地因地制宜探索融合实践，打造各具特色的对台合作品牌，提升全域联动整体效能。</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紧扣促进共同富裕，推动区域协调发展和城乡融合发展。以深化新时代山海协作为抓手促进区域协调发展，深入实施福州、厦漳泉两大都市圈高质量建设行动，谋划实施新一轮支持老区苏区发展政策措施，深化“产业飞地”“科创飞地”建设，以县域为重点统筹推进城乡融合发展，促进县域经济高质量发展，推进新一轮农业转移人口市民化行动，毫不放松抓好粮食生产，持续巩固拓展脱贫攻坚成果，分类有序、片区化推进乡村振兴，加快建设宜居宜业和美乡村。</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紧扣全面绿色转型，持续深化生态省建设。增强绿色发展动能，实施碳排放总量和强度双控制度，深入推进重点行业节能降碳改造，培育建设零碳园区、零碳工厂，加快建设新型能源体系，积极培育绿色风尚。巩固生态环境质量，加快构建从山顶到海洋的保护治理大格局，深入打好蓝天、碧水、碧海、净土保卫战，扎实推进生态产品价值实现机制、生态保护补偿、海洋碳汇等试点工作，形成更多标志性制度创新成果。</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紧扣增进人民福祉，加大保障和改善民生力度。着力稳就业促增收，实施稳岗扩容提质行动、技能福建行动、城乡居民增收计划，切实维护劳动者权益。持续提升公共服务水平，抓好为民办实事项目，推进教育资源布局结构调整，建强国家和省级区域医疗中心，加快发展居家、社区养老服务，优化生育支持政策和激励措施，加强对困难群体的关爱帮扶。持续做好以文化人工作，推动文化体育繁荣发展。</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紧扣守牢安全底线，建设更高水平平安福建。加强防风险和促发展政策协同，着力稳定房地产市场，积极有序化解地方政府债务风险，扎实推进中小金融机构改革化险。切实做好安全生产工作，持续深化重点领域安全整治，坚决遏制重特大事故发生。强化食品药品全链条监管。有效防范洪涝、台风、森林火灾等自然灾害。切实抓好基层社会治理，推进基层矛盾排查化解，深化社会治安整体防控体系和能力建设，持续营造风清气正的网络空间。</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会议指出，要深入学习贯彻习近平总书记重要讲话精神，自觉把思想和行动统一到党中央及省委对形势的科学判断上来，辩证看待“时”与“势”、“危”与“机”、“量”与“质”，以更高标准做好明年经济工作。要保持高效益增长，以消费提振释放内需，以投资增效扩大内需，以“四稳”协同巩固基本盘。要推动高质量发展，把县域重点产业链打造成传统、新兴、未来产业的链接点，以更有力的政策措施推动科技创新和产业创新深度融合，加快数智全面赋能和绿色低碳转型。要统筹推进深层次改革和高水平开放，持续优化营商环境，稳住外贸盘子，强化双向合作，深化闽台融合。要促进高效率联动，持续深化山海协作，全面提升城市品质，推进乡村全面振兴。要创造高品质生活，加快补齐教育、医疗、养老、托育等民生短板，加强生态保护修复，着力解决一批群众反映强烈、长期想解决而没有解决的问题，把民生实事办到群众心坎里。要维护高水平安全，毫不松懈抓好安全生产，持续防范化解重点领域风险，维护社会安定稳定。要以良好作风狠抓工作落实，起而行之、抓紧行动，敢于担当、攻坚克难，因地制宜、务求实效，凝聚合力、众志成城，奋力谱写新征程新福建建设新篇章。</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会议要求，全省各级各部门要持续加强党的建设和全面从严治党，以坚强党性引领高质量发展，以正确政绩观推动高质量发展，以良好环境保障高质量发展，凝聚强大合力，稳扎稳打抓好“十五五”开局之年工作。岁末年初，要关心困难群众生产生活，确保市场供应平稳有序，丰富群众精神文化生活，保障群众平安便捷出行，狠抓安全生产责任落实，全力维护社会大局稳定，持续纠“四风”树新风，认真做好值守应急工作，确保人民群众度过欢乐平安祥和的节日。</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省委、省人大常委会、省政府、省政协领导，在闽的全国政协专委会成员，省法院院长、省检察院检察长，省直有关单位和中直有关单位驻闽机构党组（党委）主要负责同志，省各民主党派主委、工商联负责同志和无党派人士代表，各设区市和平潭综合实验区党政主要负责同志，县（市、区）党委主要负责同志等参加。</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（来源：福建日报）　</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br w:type="page"/>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ascii="微软雅黑" w:hAnsi="微软雅黑" w:eastAsia="微软雅黑" w:cs="微软雅黑"/>
          <w:b/>
          <w:i w:val="0"/>
          <w:caps w:val="0"/>
          <w:spacing w:val="8"/>
          <w:sz w:val="33"/>
          <w:szCs w:val="33"/>
        </w:rPr>
      </w:pPr>
      <w:r>
        <w:rPr>
          <w:rFonts w:hint="eastAsia" w:ascii="微软雅黑" w:hAnsi="微软雅黑" w:eastAsia="微软雅黑" w:cs="微软雅黑"/>
          <w:b/>
          <w:i w:val="0"/>
          <w:caps w:val="0"/>
          <w:spacing w:val="8"/>
          <w:sz w:val="33"/>
          <w:szCs w:val="33"/>
          <w:shd w:val="clear" w:fill="FFFFFF"/>
        </w:rPr>
        <w:t>市委经济工作会议召开</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2025年12月31日，市委经济工作会议召开，落实中央经济工作会议部署，按照省委十一届八次、九次全会和省委经济工作会议要求，总结2025年全市经济工作，分析当前经济形势，部署2026年经济工作。市委书记张毅恭主持并讲话。市委副书记、市长蔡战胜作具体部署。市人大常委会主任徐华、市政协主席肖汉辉出席。</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会议充分肯定了2025年全市发展取得的成绩。会议指出，一年来，全市上下聚焦省委“奋勇争先、再上台阶”要求，持续深化拓展“三争”行动，大拼经济、大抓发展，深入实施“抓项目、促发展”系列专项行动，发展动能持续释放，城市名片持续擦亮，城乡环境持续优化，民生福祉持续改善，干事氛围持续充盈，取得来之不易的成绩。2026年是“十五五”开局之年，要全面、辩证、长远看待经济形势，坚定信心、用好优势，以开局起势的拼搏之志、实干之姿，全力以赴拼经济、促发展，巩固拓展经济稳中向好势头，以实际行动坚定拥护“两个确立”、坚决做到“两个维护”。</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会议强调，抓好2026年经济工作，必须以习近平新时代中国特色社会主义思想为指导，深入贯彻党的二十大和二十届历次全会精神，全面落实习近平总书记在福建考察时的重要讲话精神，传承弘扬、创新发展“晋江经验”，完整准确全面贯彻新发展理念，积极服务和深度融入新发展格局，全方位推动高质量发展，坚持稳中求进工作总基调，把提质增效摆在更加突出位置，持续争优、争先、争效，更好担起经济大市挑大梁责任，更好统筹发展和安全，增强政策前瞻性针对性协同性，持续扩大内需、优化供给，做优增量、盘活存量，因地制宜发展新质生产力，主动融入全国统一大市场建设，积极服务两岸融合发展示范区建设，持续防范化解重点领域风险，着力稳就业、稳企业、稳市场、稳预期，推动经济实现质的有效提升和量的合理增长，保持社会和谐稳定，实现“十五五”良好开局。</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会议强调，要扭住目标不放松、一张蓝图绘到底，坚持把招商引资和招才引智作为战略性先导工程，奋力抓好2026年经济工作的重点任务。</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要在深挖内需潜力上攻坚突破。持续开展提振消费行动，加快建设全国消费新业态新模式新场景试点城市。坚持投资于人和投资于物相结合，接续实施“项目巩固年”活动，强化项目谋划储备，有效带动各类投资增长。</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要在巩固实体根基上攻坚突破。坚持“心无旁骛做实业”，围绕全省“555X”产业集群，抓好制造业集群巩固提升、新兴和未来产业培育壮大、服务业优质高效发展、产业空间布局优化和现代基础设施支撑，大力培育铺天盖地的中小企业和顶天立地的龙头企业，全力构建“955”现代产业体系。</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要在深化改革开放上攻坚突破。推进福厦泉要素市场化配置综合改革，加快“晋江经验”地方立法，持续优化营商环境，增强企业信心。深化“侨商+厂商+异地泉商”，加强外贸主体培育，工贸并举、内外贸一体，打造工业强市、贸易强市、港口强市。</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要在推动泉台融合上攻坚突破。高标准建设两岸（厦泉金）合作发展区、世界闽南文化交流中心，深化经贸往来、加强人文交流、推进应通尽通，打造两岸融合发展先行区。</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要在城乡融合发展中攻坚突破。融入厦漳泉都市圈同城化，优化提升“一湾两翼三带一屏多支点”国土空间格局，加快中心城市扩容提级，统筹推进以县城为重要载体的城镇化建设和乡村全面振兴，着力建设现代化人民城市。</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要在文旅深度融合上攻坚突破。擦亮“世遗之城”“时尚之都”“世界美食之都”三张金字招牌，培育“赛事+”“文创+”“美食+”新业态新场景，积极创建国家级旅游度假区、5A级旅游景区，建设旅游强市、文化强市。</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要在生态环保上攻坚突破。持续抓好中央和省级生态环保督察反馈问题整改，打好蓝天、碧水、碧海、净土保卫战，构建从山顶到海洋的保护治理大格局。</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要在增进民生福祉上攻坚突破。探索“1+3+N”共同富裕路径，扎实推动为民办实事项目建设，推出更多田园风光、青山风韵、渔村风情系列农文旅商场景，努力在全域共富上当先锋。</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要在维护安定稳定上攻坚突破。深入开展安全生产治本攻坚三年行动，防范化解重点领域风险隐患，坚决遏制重特大事故发生。健全主动创稳机制，建好用好“两中心一平台”，持续推动物业管理提升，确保社会大局安定稳定。</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 会议强调，要以“项目巩固年”为抓手，持续巩固经济回升向好势头，巩固拓展“抓项目、促发展”系列专项行动成果，巩固好机制、好做法、精气神，拉高标杆、对标一流、冲锋在前、担当在先，全力争优争先争效，不断夯实高质量发展支撑。要抓科技创新和产业创新深度融合，坚持实业立市，持续打好“强引擎、建载体、铸链条、提存量、拓增量、优环境”组合拳，加快打造产城人融合的产业社区，聚力推动创新成果转化应用，大力发展新质生产力，不断巩固“稳一优二强三”产业格局。要抓投资于物和投资于人紧密结合，推动“增量扩张”向“存量更新”转变、“中心统管”向“全域统筹”转变、“粗放建设”向“品质提升”转变，围绕满足人民日益增长的美好生活需要，打造具备更高生活福祉的城市空间。要抓高质量发展和高水平安全良性互动，坚持民生为大，积极践行“共建、共治、共享”理念，着力稳就业、惠民生、保安全，让发展成果惠及更多群众。</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会议要求，要持续加强党的建设和全面从严治党，树立和践行正确政绩观，弘扬“四下基层”“马上就办、真抓实干”等优良作风，大抓落实、狠抓落实，把心思放在务实上、把精力花在落实上、把时间用在办实事上，营造激情燃烧、干事创业、奋勇争先的浓厚氛围。要做好岁末年初各项工作，加强困难群众关心帮扶，确保市场供应平稳有序，让人民群众度过欢乐平安祥和的节日，精心谋划“开门红”“开门稳”。</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市委、市人大常委会、市政府、市政协领导，在泉的省人大常委会委员，市中级人民法院院长、市人民检察院检察长，市直及驻泉省部属有关单位主要负责同志，市各民主党派主委或专职副主委、工商联主席和无党派人士代表，各县（市、区）、泉州开发区、泉州台商投资区主要负责同志等参加。</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（来源：泉州发布）</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br w:type="page"/>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微软雅黑" w:hAnsi="微软雅黑" w:eastAsia="微软雅黑" w:cs="微软雅黑"/>
          <w:b/>
          <w:i w:val="0"/>
          <w:caps w:val="0"/>
          <w:spacing w:val="8"/>
          <w:sz w:val="33"/>
          <w:szCs w:val="33"/>
          <w:bdr w:val="none" w:color="auto" w:sz="0" w:space="0"/>
          <w:shd w:val="clear" w:fill="FFFFFF"/>
        </w:rPr>
      </w:pPr>
      <w:r>
        <w:rPr>
          <w:rFonts w:hint="eastAsia" w:ascii="微软雅黑" w:hAnsi="微软雅黑" w:eastAsia="微软雅黑" w:cs="微软雅黑"/>
          <w:b/>
          <w:i w:val="0"/>
          <w:caps w:val="0"/>
          <w:spacing w:val="8"/>
          <w:sz w:val="33"/>
          <w:szCs w:val="33"/>
          <w:bdr w:val="none" w:color="auto" w:sz="0" w:space="0"/>
          <w:shd w:val="clear" w:fill="FFFFFF"/>
        </w:rPr>
        <w:t>市政协十三届五次会议隆重开幕</w:t>
      </w:r>
    </w:p>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1月13日，中国人民政治协商会议第十三届泉州市委员会第五次会议在泉州人民会堂隆重开幕。</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怀揣沉甸甸的期盼与重托，出席市政协十三届五次会议的委员们昂首阔步走进会场。大会期间，他们将齐聚一堂，共商发展大计，为推进中国式现代化泉州实践凝心聚力。</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本次大会应到市政协委员490名，实到457名，符合规定人数。 </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大会执行主席肖汉辉、周真平、王祖耀、戴仲川、蔡萌芽、庄灿霞、黄世界、肖惠中、杨昌文、吴艺阳在主席台前排就座。 </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市委书记张毅恭，市长蔡战胜，市人大常委会主任徐华，省人大常委会委员李建辉、陈灿辉，市委副书记周小华，有关领导李占新、黄景春、汤孔忠、刘林霜、蔡天守、黄春辉、张翼翔、樊美清、高向荣、李文生、颜丽明、苏耿聪、柳建忠、雷连鸣、黄文捷、王春雷、张果、施建清等到会祝贺并在主席台就座。 </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市政协老领导傅圆圆、林荣取、杨俊峰、傅福荣、陈立德、苏小青、李冀平、陈益、刘志平、王春金、骆沙鸣、洪川夫，华侨大学、泉州师院、黎明大学、仰恩大学、福建炼化公司、中化泉州公司、中国闽台缘博物馆、泉州海关领导，市纪委监委领导，泉籍港澳地区的全国政协委员、省政协常委、港澳台侨代表人士，市委统战部和市各民主党派、工商联及总工会、共青团、妇联、侨联等人民团体负责人，泉州台商投资区、泉州开发区领导，各县（市、区）政协主席，其他代表性人士等应邀参加并在主席台就座。</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上午九点，蔡萌芽宣布大会开幕，雄壮的中华人民共和国国歌响彻会场。   </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受政协第十三届泉州市委员会常务委员会委托，市政协主席肖汉辉向大会作工作报告。报告指出，2025年，市政协常委会高举习近平新时代中国特色社会主义思想伟大旗帜，在中共泉州市委的坚强领导下，持续深化拓展“深学争优、敢为争先、实干争效”行动，围绕中心、服务大局，发挥专门协商机构作用，践行全过程人民民主，为推动中国式现代化泉州实践广泛凝聚人心、凝聚共识、凝聚智慧、凝聚力量。一年来共举办各类协商活动130多场次，提交建议案及各类摘报45件、调研考察报告168篇，立案政协提案649件。</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报告从六个方面回顾了市政协十三届四次会议以来的工作特色和显著成效：把牢主轴、把握总纲，擦亮政治本色；聚焦中心、聚力添彩，深入协商议政；为民建言、为民尽责，践行初心使命；增进认同、增强合力，广泛团结联谊；优化机制、强化实践，提升履职质效；锻炼队伍、锤炼本领，展现奋进气象。</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肖汉辉指出，2026年，市政协常委会将以习近平新时代中国特色社会主义思想为指导，全面贯彻落实中共二十大和二十届历次全会精神，在中共泉州市委领导下，紧扣全市发展大局和中心任务，充分激发专门协商机构制度效能，以全过程人民民主的生动实践和务实成效，奋战“十五五”开局之年，在建设海丝名城、智造强市、品质泉州的宏大事业中展现智慧、力量与担当。</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肖汉辉强调，广大政协委员和政协各参加单位要把准政治方向，筑牢思想之基；服务中心大局，担当发展之责；强化宗旨意识，牢记民生之本；深化团结联谊，凝聚奋进之力；注重自身建设，激发履职之能。他号召，要更加紧密团结在以习近平同志为核心的中共中央周围，同向同行、群策群力，为奋勇争先推进中国式现代化泉州实践而努力奋斗。</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庄灿霞向大会作了政协第十三届泉州市委员会常务委员会关于十三届四次会议以来提案工作情况的报告。报告指出，一年来，广大政协委员和各级政协组织积极运用提案形式履行职能、建言献策，全年共收到823件提案，审查立案649件，立案率为78.9%，分解为2047件次办理任务，其中有2008件次办理任务所提问题已解决和纳入计划解决，占98.1%，较上一年度增加1.5%，是转化成果最亮眼的一年。2026年将在提案高质量上再下功夫、办理高水平上再出实招、全过程人民民主上再立新功、服务高效能上再添举措。</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会上，市委金融办、市科技局负责人代表所在单位作了提案办理工作典型发言。市政协各专门委员会向大会提交了书面工作报告。 </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在泉省政协委员，市直有关单位、省部属驻泉单位、在泉高等院校、金融机构等部门单位的主要负责同志应邀列席会议。</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（来源：泉州发布、泉州晚报）</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br w:type="page"/>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微软雅黑" w:hAnsi="微软雅黑" w:eastAsia="微软雅黑" w:cs="微软雅黑"/>
          <w:b/>
          <w:i w:val="0"/>
          <w:caps w:val="0"/>
          <w:spacing w:val="8"/>
          <w:sz w:val="33"/>
          <w:szCs w:val="33"/>
          <w:bdr w:val="none" w:color="auto" w:sz="0" w:space="0"/>
          <w:shd w:val="clear" w:fill="FFFFFF"/>
        </w:rPr>
      </w:pPr>
      <w:r>
        <w:rPr>
          <w:rFonts w:hint="eastAsia" w:ascii="微软雅黑" w:hAnsi="微软雅黑" w:eastAsia="微软雅黑" w:cs="微软雅黑"/>
          <w:b/>
          <w:i w:val="0"/>
          <w:caps w:val="0"/>
          <w:spacing w:val="8"/>
          <w:sz w:val="33"/>
          <w:szCs w:val="33"/>
          <w:bdr w:val="none" w:color="auto" w:sz="0" w:space="0"/>
          <w:shd w:val="clear" w:fill="FFFFFF"/>
        </w:rPr>
        <w:t>市十七届</w:t>
      </w:r>
      <w:bookmarkStart w:id="14" w:name="_GoBack"/>
      <w:bookmarkEnd w:id="14"/>
      <w:r>
        <w:rPr>
          <w:rFonts w:hint="eastAsia" w:ascii="微软雅黑" w:hAnsi="微软雅黑" w:eastAsia="微软雅黑" w:cs="微软雅黑"/>
          <w:b/>
          <w:i w:val="0"/>
          <w:caps w:val="0"/>
          <w:spacing w:val="8"/>
          <w:sz w:val="33"/>
          <w:szCs w:val="33"/>
          <w:bdr w:val="none" w:color="auto" w:sz="0" w:space="0"/>
          <w:shd w:val="clear" w:fill="FFFFFF"/>
        </w:rPr>
        <w:t>人大五次会议开幕</w:t>
      </w:r>
    </w:p>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1月14日上午，泉州市第十七届人民代表大会第五次会议在泉州人民会堂隆重开幕。来自各行各业、各条战线的市人大代表肩负着全市人民的重托，怀揣对美好未来的憧憬，以饱满的政治热情出席大会，依法履行神圣职责。</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担任第一次全体会议执行主席并在主席台前排就座的有：张毅恭、徐华、黄阳春、张翼翔、樊美清、高向荣、李文生、黄辉灿、颜丽明、朱亮。大会由主席团常务主席、执行主席徐华主持。</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市长蔡战胜，市政协主席肖汉辉，省人大常委会委员李建辉、陈灿辉，市委副书记周小华，市领导李占新、黄景春、刘林霜、蔡天守、黄春辉和主席团其他成员在主席台就座。</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市十七届人大实有代表508人，到会484人，符合法定人数。</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上午9时，徐华宣布：泉州市第十七届人民代表大会第五次会议开幕！全体起立，会场响起雄壮的国歌。</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市长蔡战胜代表市人民政府向大会作政府工作报告。他说，过去一年，我们坚持以习近平新时代中国特色社会主义思想为指导，全面贯彻落实党的二十大和二十届历次全会精神，深入学习贯彻习近平总书记在福建考察时的重要讲话精神，传承弘扬、创新发展“晋江经验”，持续深化拓展“深学争优、敢为争先、实干争效”行动，大拼经济、大抓发展，扎实推进“抓项目、促发展”系列专项行动，高质量发展迈出新的坚实步伐。一年来的主要工作是：扩需求稳增长，经济回升向好势头不断巩固；调结构转方式，产业焕新升级步伐不断加快；抓改革促开放，高质量发展新动能不断激活；抓城建提品质，城乡融合发展格局不断完善；惠民生补短板，基本公共服务体系不断健全；保安全守底线，社会综合治理效能不断提升。</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蔡战胜说，过去的五年极不寻常、极不平凡，我们经受住世纪疫情严重冲击，有效应对一系列重大风险挑战，全力抓项目、促发展，启动实施涵盖产业发展、城市建设、民生事业等领域23个专项行动，推动海丝名城、智造强市、品质泉州建设取得良好成效，“十四五”顺利收官。我们坚持稳中求进、以进促稳，实体根基更加夯实；坚持深化改革、全面开放，发展动力更加强劲；坚持统筹统管、提质增效，城乡融合更加协调；坚持以文塑旅、以旅彰文，文化自信更加坚定；坚持回应关切、改善民生，社会事业更加殷实。“十四五”发展成绩来之不易，这是习近平新时代中国特色社会主义思想科学指引的结果，是省委、省政府和市委正确领导的结果，是市人大、市政协和社会各界有效监督、鼎力支持的结果，是全市人民爱拼敢赢、真抓实干的结果。同时，我们也清醒认识到发展中还存在不少困难和挑战。我们将直面问题，在今后工作中加以解决。</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蔡战胜说，“十五五”是承前启后、继往开来，夯实基础、全面发力，奋勇争先、再上台阶的关键时期。要全面贯彻习近平新时代中国特色社会主义思想，深入贯彻党的二十大和二十届历次全会精神，全面落实习近平总书记对福建、对泉州工作的重要讲话重要指示批示精神，传承弘扬、创新发展“晋江经验”，紧紧围绕加快建设21世纪“海丝名城”，奋勇争先推进中国式现代化泉州实践这一主线，高质量推进两岸融合发展示范区建设这一使命，完整准确全面贯彻新发展理念，积极服务和深度融入新发展格局，坚持稳中求进工作总基调，坚持以经济建设为中心，以全方位推动高质量发展为主题，以改革创新为根本动力，以满足人民日益增长的美好生活需要为根本目的，以全面从严治党为根本保障，推动经济实现质的有效提升和量的合理增长，推动人的全面发展、全体人民共同富裕迈出坚实步伐，确保基本实现社会主义现代化取得决定性进展。</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十五五”时期经济社会发展的主要目标是：产业体系结构更优，民营经济活力更足，海丝枢纽能级更高，两岸融合联结更深，世遗文旅品牌更响，全域共富步伐更稳，生态绿城底色更靓。蔡战胜强调，要保持战略定力，增强必胜信心，扭住目标不放松、一张蓝图绘到底，奋力书写“晋江经验”新篇章。在构建现代化产业体系上奋勇争先，巩固“稳一优二强三”发展格局；在纵深推进改革开放上奋勇争先，增添高质量发展新动力；在推动城乡融合发展上奋勇争先，努力建设现代化人民城市；在保障和改善民生上奋勇争先，扎实推进共同富裕。</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2026年是“十五五”开局之年，经济社会发展主要预期目标为：地区生产总值增长5%左右、略高于全省增速，在实际工作中争取更好结果；农林牧渔业总产值增长4%；工业增加值增长5.7%；第三产业增加值增长5.5%；地方一般公共预算收入增长2.5%；固定资产投资增长3%；实际利用外资、出口总额持平；社会消费品零售总额增长5%，居民消费价格涨幅控制在2%左右；居民人均可支配收入和经济增长基本同步；完成节能减排降碳任务。蔡战胜强调，要坚持稳中求进、提质增效，持续扩大内需、优化供给，做优增量、盘活存量，稳就业、稳企业、稳市场、稳预期，保持社会和谐稳定，不断巩固拓展经济稳中向好势头。奋力推进新旧动能转换，进一步培育发展新质生产力；奋力推进城乡融合协调发展，进一步提升城市品质能级；奋力推进深层次改革、高水平开放，进一步激发高质量发展动力活力；奋力推进文旅深度融合，进一步建设文化强市、旅游强市；奋力推进绿色低碳转型，进一步增强绿色发展动能；奋力推进民生福祉改善，进一步增强人民群众获得感幸福感安全感；奋力推进治理能力提升，进一步筑牢社会和谐稳定基础。</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就加强政府自身建设，蔡战胜表示，将一以贯之推进政府系统全面从严治党，坚持政治引领、系统思维、经营理念、专业精神、风险意识，不断提高施政能力和服务水平，筑牢政治忠诚、坚定厉行法治、践行初心使命、强化正风肃纪，以有为政府更好服务有效市场。</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蔡战胜最后说，山海寻梦，不觉其远；前路迢迢，阔步而行。让我们更加紧密地团结在以习近平同志为核心的党中央周围，高举习近平新时代中国特色社会主义思想伟大旗帜，在省委、省政府和市委的坚强领导下，拿出跃马扬鞭的勇气，激发万马奔腾的活力，保持马不停蹄的干劲，奋力谱写中国式现代化泉州实践新篇章。</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会议还审查了泉州市国民经济和社会发展第十五个五年规划纲要草案；泉州市2025年国民经济和社会发展计划执行情况及2026年国民经济和社会发展计划草案的报告、2026年国民经济和社会发展计划草案；泉州市2025年预算执行情况及2026年预算草案的报告、2026年市本级预算草案。</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在主席台就座的还有：泉州军分区领导陈永团，市领导苏耿聪、柳建忠、黄文捷、王春雷、周真平、王祖耀、戴仲川、蔡萌芽、庄灿霞、肖惠中、杨昌文，市中级人民法院院长张果、市人民检察院检察长施建清；福建炼化公司董事长张西国，泉州师范学院党委书记柯瑞清；省人大常委会委员朱世泽；老领导朱明、李建国、尤垂镇、薛祖亮、傅圆圆、陈海基、陈万里、林荣取、杨俊峰、何锦龙、吴汉民、洪辉煌、宋长青、沈耀钦、朱团能、张建生、曾巍、许文贵、吴友才、蔡思红、吴汉宗；欧阳秋虹；部分港澳台侨人士、海外特邀嘉宾、招商大使等。</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列席会议的有：出席泉州市政协十三届五次会议的委员，市委、市政府各部门主要领导，市直有关企事业单位、省部属驻泉单位、大专院校和各民主党派、群团组织负责人等。</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（来源：泉州发布、泉州晚报）</w:t>
      </w:r>
    </w:p>
    <w:p>
      <w:pPr>
        <w:pStyle w:val="3"/>
        <w:spacing w:after="0"/>
        <w:rPr>
          <w:rFonts w:hint="eastAsia"/>
          <w:lang w:val="en-US" w:eastAsia="zh-CN"/>
        </w:rPr>
      </w:pPr>
    </w:p>
    <w:sectPr>
      <w:headerReference r:id="rId3" w:type="default"/>
      <w:footerReference r:id="rId4" w:type="default"/>
      <w:pgSz w:w="11907" w:h="16840"/>
      <w:pgMar w:top="1440" w:right="1644"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经典楷体简">
    <w:altName w:val="宋体"/>
    <w:panose1 w:val="00000000000000000000"/>
    <w:charset w:val="86"/>
    <w:family w:val="modern"/>
    <w:pitch w:val="default"/>
    <w:sig w:usb0="00000000" w:usb1="00000000" w:usb2="0000001E"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Cambria">
    <w:panose1 w:val="02040503050406030204"/>
    <w:charset w:val="00"/>
    <w:family w:val="roman"/>
    <w:pitch w:val="default"/>
    <w:sig w:usb0="E00002FF" w:usb1="400004FF" w:usb2="00000000" w:usb3="00000000" w:csb0="2000019F"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jc w:val="center"/>
    </w:pPr>
    <w:r>
      <w:fldChar w:fldCharType="begin"/>
    </w:r>
    <w:r>
      <w:instrText xml:space="preserve"> PAGE   \* MERGEFORMAT </w:instrText>
    </w:r>
    <w:r>
      <w:fldChar w:fldCharType="separate"/>
    </w:r>
    <w:r>
      <w:rPr>
        <w:lang w:val="zh-CN"/>
      </w:rPr>
      <w:t>1</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wOWYyNTNjNjk1MzdiYjA5MTg3ZmI5NmJmZDhmMWYifQ=="/>
  </w:docVars>
  <w:rsids>
    <w:rsidRoot w:val="004E3E5A"/>
    <w:rsid w:val="00000079"/>
    <w:rsid w:val="000004EA"/>
    <w:rsid w:val="00000A52"/>
    <w:rsid w:val="00000F0B"/>
    <w:rsid w:val="00001564"/>
    <w:rsid w:val="000022AB"/>
    <w:rsid w:val="000022B9"/>
    <w:rsid w:val="0000281B"/>
    <w:rsid w:val="00003C19"/>
    <w:rsid w:val="0000559F"/>
    <w:rsid w:val="00005E5C"/>
    <w:rsid w:val="00006F26"/>
    <w:rsid w:val="0001530C"/>
    <w:rsid w:val="0001565A"/>
    <w:rsid w:val="00015681"/>
    <w:rsid w:val="00016C40"/>
    <w:rsid w:val="000170CA"/>
    <w:rsid w:val="000176B7"/>
    <w:rsid w:val="000176CC"/>
    <w:rsid w:val="00020CFF"/>
    <w:rsid w:val="00020ED9"/>
    <w:rsid w:val="00021846"/>
    <w:rsid w:val="00021C92"/>
    <w:rsid w:val="000230A3"/>
    <w:rsid w:val="00023179"/>
    <w:rsid w:val="000233A6"/>
    <w:rsid w:val="00025637"/>
    <w:rsid w:val="00026A47"/>
    <w:rsid w:val="00026EC8"/>
    <w:rsid w:val="00035065"/>
    <w:rsid w:val="000350D4"/>
    <w:rsid w:val="0003572B"/>
    <w:rsid w:val="00035DEB"/>
    <w:rsid w:val="0004021A"/>
    <w:rsid w:val="00040C72"/>
    <w:rsid w:val="00041245"/>
    <w:rsid w:val="00041473"/>
    <w:rsid w:val="00041C3A"/>
    <w:rsid w:val="00043E2F"/>
    <w:rsid w:val="00044DA0"/>
    <w:rsid w:val="00044E82"/>
    <w:rsid w:val="0004508C"/>
    <w:rsid w:val="00045565"/>
    <w:rsid w:val="00046ADA"/>
    <w:rsid w:val="00047D1E"/>
    <w:rsid w:val="00051783"/>
    <w:rsid w:val="000517D6"/>
    <w:rsid w:val="00051802"/>
    <w:rsid w:val="000522C5"/>
    <w:rsid w:val="0005525D"/>
    <w:rsid w:val="00055B0F"/>
    <w:rsid w:val="00056177"/>
    <w:rsid w:val="0006128E"/>
    <w:rsid w:val="00061472"/>
    <w:rsid w:val="000616AB"/>
    <w:rsid w:val="00061D95"/>
    <w:rsid w:val="00062109"/>
    <w:rsid w:val="00062324"/>
    <w:rsid w:val="000648D8"/>
    <w:rsid w:val="00064BC2"/>
    <w:rsid w:val="0006627A"/>
    <w:rsid w:val="000703C4"/>
    <w:rsid w:val="000709D1"/>
    <w:rsid w:val="00070EAA"/>
    <w:rsid w:val="0007144F"/>
    <w:rsid w:val="000725D5"/>
    <w:rsid w:val="00072FAC"/>
    <w:rsid w:val="00074365"/>
    <w:rsid w:val="0007714C"/>
    <w:rsid w:val="00081325"/>
    <w:rsid w:val="00081F72"/>
    <w:rsid w:val="00082C59"/>
    <w:rsid w:val="00082EE1"/>
    <w:rsid w:val="000832D1"/>
    <w:rsid w:val="00083CE0"/>
    <w:rsid w:val="00083D76"/>
    <w:rsid w:val="00085FC8"/>
    <w:rsid w:val="000864A6"/>
    <w:rsid w:val="000878FE"/>
    <w:rsid w:val="00087A8D"/>
    <w:rsid w:val="00090B7B"/>
    <w:rsid w:val="00090C5B"/>
    <w:rsid w:val="00090C7A"/>
    <w:rsid w:val="0009171A"/>
    <w:rsid w:val="00092238"/>
    <w:rsid w:val="000927BB"/>
    <w:rsid w:val="0009454F"/>
    <w:rsid w:val="00095A66"/>
    <w:rsid w:val="00097104"/>
    <w:rsid w:val="00097BBA"/>
    <w:rsid w:val="000A3142"/>
    <w:rsid w:val="000A3651"/>
    <w:rsid w:val="000A3A0D"/>
    <w:rsid w:val="000A5297"/>
    <w:rsid w:val="000A5684"/>
    <w:rsid w:val="000A5999"/>
    <w:rsid w:val="000A772A"/>
    <w:rsid w:val="000B02BB"/>
    <w:rsid w:val="000B0D3E"/>
    <w:rsid w:val="000B1259"/>
    <w:rsid w:val="000B133B"/>
    <w:rsid w:val="000B18E8"/>
    <w:rsid w:val="000B1D82"/>
    <w:rsid w:val="000B25F8"/>
    <w:rsid w:val="000B277B"/>
    <w:rsid w:val="000B282B"/>
    <w:rsid w:val="000B2850"/>
    <w:rsid w:val="000B4092"/>
    <w:rsid w:val="000B4A87"/>
    <w:rsid w:val="000C2707"/>
    <w:rsid w:val="000C294B"/>
    <w:rsid w:val="000C2C03"/>
    <w:rsid w:val="000C322D"/>
    <w:rsid w:val="000C353E"/>
    <w:rsid w:val="000C60A4"/>
    <w:rsid w:val="000C6836"/>
    <w:rsid w:val="000C7055"/>
    <w:rsid w:val="000C76CC"/>
    <w:rsid w:val="000C777F"/>
    <w:rsid w:val="000C7A90"/>
    <w:rsid w:val="000D097D"/>
    <w:rsid w:val="000D0E98"/>
    <w:rsid w:val="000D15AC"/>
    <w:rsid w:val="000D1F88"/>
    <w:rsid w:val="000D28A8"/>
    <w:rsid w:val="000D40AE"/>
    <w:rsid w:val="000D477B"/>
    <w:rsid w:val="000D69F7"/>
    <w:rsid w:val="000E06FF"/>
    <w:rsid w:val="000E23A7"/>
    <w:rsid w:val="000E5161"/>
    <w:rsid w:val="000E5388"/>
    <w:rsid w:val="000F2233"/>
    <w:rsid w:val="000F3172"/>
    <w:rsid w:val="000F4012"/>
    <w:rsid w:val="000F4618"/>
    <w:rsid w:val="000F4CE6"/>
    <w:rsid w:val="000F52A1"/>
    <w:rsid w:val="000F56BF"/>
    <w:rsid w:val="000F5BC9"/>
    <w:rsid w:val="000F5BFF"/>
    <w:rsid w:val="000F643F"/>
    <w:rsid w:val="00102228"/>
    <w:rsid w:val="00106476"/>
    <w:rsid w:val="00106D9E"/>
    <w:rsid w:val="00107FCF"/>
    <w:rsid w:val="00112696"/>
    <w:rsid w:val="00115A43"/>
    <w:rsid w:val="00116553"/>
    <w:rsid w:val="00116786"/>
    <w:rsid w:val="001215DA"/>
    <w:rsid w:val="00125CCA"/>
    <w:rsid w:val="0012643F"/>
    <w:rsid w:val="00127761"/>
    <w:rsid w:val="00130F88"/>
    <w:rsid w:val="00130FEB"/>
    <w:rsid w:val="0013151E"/>
    <w:rsid w:val="0013207F"/>
    <w:rsid w:val="00133053"/>
    <w:rsid w:val="001340AE"/>
    <w:rsid w:val="001406E7"/>
    <w:rsid w:val="00141B66"/>
    <w:rsid w:val="00141D54"/>
    <w:rsid w:val="001420F8"/>
    <w:rsid w:val="0014654B"/>
    <w:rsid w:val="00146DFC"/>
    <w:rsid w:val="0015060E"/>
    <w:rsid w:val="001528C6"/>
    <w:rsid w:val="00152AC5"/>
    <w:rsid w:val="00155000"/>
    <w:rsid w:val="00156431"/>
    <w:rsid w:val="0015764C"/>
    <w:rsid w:val="00157DF9"/>
    <w:rsid w:val="00160C81"/>
    <w:rsid w:val="00161BF7"/>
    <w:rsid w:val="00161C4C"/>
    <w:rsid w:val="0016249E"/>
    <w:rsid w:val="00162830"/>
    <w:rsid w:val="00162B38"/>
    <w:rsid w:val="00162F48"/>
    <w:rsid w:val="00163137"/>
    <w:rsid w:val="00163845"/>
    <w:rsid w:val="00163A1D"/>
    <w:rsid w:val="00163F84"/>
    <w:rsid w:val="00166A37"/>
    <w:rsid w:val="0017047C"/>
    <w:rsid w:val="001715CF"/>
    <w:rsid w:val="00171BA1"/>
    <w:rsid w:val="00171CEA"/>
    <w:rsid w:val="001721D1"/>
    <w:rsid w:val="0017301A"/>
    <w:rsid w:val="00173B83"/>
    <w:rsid w:val="00175710"/>
    <w:rsid w:val="00175AA4"/>
    <w:rsid w:val="00177AB0"/>
    <w:rsid w:val="00177C32"/>
    <w:rsid w:val="00180206"/>
    <w:rsid w:val="00180D0B"/>
    <w:rsid w:val="00180F60"/>
    <w:rsid w:val="001818AE"/>
    <w:rsid w:val="001827EF"/>
    <w:rsid w:val="001844E8"/>
    <w:rsid w:val="001858EB"/>
    <w:rsid w:val="00185C0F"/>
    <w:rsid w:val="00185E16"/>
    <w:rsid w:val="001866E5"/>
    <w:rsid w:val="001869B3"/>
    <w:rsid w:val="00190D15"/>
    <w:rsid w:val="00192E96"/>
    <w:rsid w:val="00193A10"/>
    <w:rsid w:val="00195F59"/>
    <w:rsid w:val="00196D59"/>
    <w:rsid w:val="00197926"/>
    <w:rsid w:val="001979B1"/>
    <w:rsid w:val="00197D45"/>
    <w:rsid w:val="00197D78"/>
    <w:rsid w:val="001A33D4"/>
    <w:rsid w:val="001A37E0"/>
    <w:rsid w:val="001A44C6"/>
    <w:rsid w:val="001A4736"/>
    <w:rsid w:val="001A490B"/>
    <w:rsid w:val="001B0070"/>
    <w:rsid w:val="001B09B9"/>
    <w:rsid w:val="001B0C6A"/>
    <w:rsid w:val="001B45E5"/>
    <w:rsid w:val="001B484E"/>
    <w:rsid w:val="001B4AC7"/>
    <w:rsid w:val="001B533B"/>
    <w:rsid w:val="001B6583"/>
    <w:rsid w:val="001B6951"/>
    <w:rsid w:val="001B6FFF"/>
    <w:rsid w:val="001B7AF0"/>
    <w:rsid w:val="001C07A0"/>
    <w:rsid w:val="001C0E25"/>
    <w:rsid w:val="001C1CDA"/>
    <w:rsid w:val="001C3FAA"/>
    <w:rsid w:val="001C4089"/>
    <w:rsid w:val="001C4E2F"/>
    <w:rsid w:val="001C5ADB"/>
    <w:rsid w:val="001C65D3"/>
    <w:rsid w:val="001C6897"/>
    <w:rsid w:val="001C7D1A"/>
    <w:rsid w:val="001D192E"/>
    <w:rsid w:val="001D2790"/>
    <w:rsid w:val="001D2E4B"/>
    <w:rsid w:val="001D736B"/>
    <w:rsid w:val="001D7D2B"/>
    <w:rsid w:val="001E0B06"/>
    <w:rsid w:val="001E398F"/>
    <w:rsid w:val="001E57A5"/>
    <w:rsid w:val="001E67A2"/>
    <w:rsid w:val="001E776E"/>
    <w:rsid w:val="001E77A3"/>
    <w:rsid w:val="001E7AF0"/>
    <w:rsid w:val="001F0233"/>
    <w:rsid w:val="001F0D17"/>
    <w:rsid w:val="001F14B3"/>
    <w:rsid w:val="001F1D76"/>
    <w:rsid w:val="001F2043"/>
    <w:rsid w:val="001F29F3"/>
    <w:rsid w:val="001F54FF"/>
    <w:rsid w:val="001F5B07"/>
    <w:rsid w:val="001F67F5"/>
    <w:rsid w:val="001F7123"/>
    <w:rsid w:val="001F7369"/>
    <w:rsid w:val="00201776"/>
    <w:rsid w:val="00203484"/>
    <w:rsid w:val="002122B1"/>
    <w:rsid w:val="00212A41"/>
    <w:rsid w:val="002138A5"/>
    <w:rsid w:val="00217466"/>
    <w:rsid w:val="0022207C"/>
    <w:rsid w:val="00223E2D"/>
    <w:rsid w:val="002245A0"/>
    <w:rsid w:val="00226695"/>
    <w:rsid w:val="00227588"/>
    <w:rsid w:val="002323DC"/>
    <w:rsid w:val="00232BAD"/>
    <w:rsid w:val="00236CD4"/>
    <w:rsid w:val="00237207"/>
    <w:rsid w:val="00241CA6"/>
    <w:rsid w:val="00242FB5"/>
    <w:rsid w:val="00243838"/>
    <w:rsid w:val="002439AE"/>
    <w:rsid w:val="00243CD4"/>
    <w:rsid w:val="00245D13"/>
    <w:rsid w:val="002465F2"/>
    <w:rsid w:val="00246B39"/>
    <w:rsid w:val="00250465"/>
    <w:rsid w:val="002505AD"/>
    <w:rsid w:val="002521F5"/>
    <w:rsid w:val="00255BD3"/>
    <w:rsid w:val="002567BD"/>
    <w:rsid w:val="00256BD2"/>
    <w:rsid w:val="00257D0A"/>
    <w:rsid w:val="002621CD"/>
    <w:rsid w:val="002628C6"/>
    <w:rsid w:val="00262E69"/>
    <w:rsid w:val="00263AC2"/>
    <w:rsid w:val="00263AF1"/>
    <w:rsid w:val="002641A8"/>
    <w:rsid w:val="00264211"/>
    <w:rsid w:val="0026425A"/>
    <w:rsid w:val="0026536A"/>
    <w:rsid w:val="00266042"/>
    <w:rsid w:val="002667D7"/>
    <w:rsid w:val="00267A82"/>
    <w:rsid w:val="00267DCA"/>
    <w:rsid w:val="00272019"/>
    <w:rsid w:val="0027358E"/>
    <w:rsid w:val="00273693"/>
    <w:rsid w:val="002746DC"/>
    <w:rsid w:val="00277E28"/>
    <w:rsid w:val="00280289"/>
    <w:rsid w:val="00282B33"/>
    <w:rsid w:val="00283A7E"/>
    <w:rsid w:val="00286586"/>
    <w:rsid w:val="00286970"/>
    <w:rsid w:val="00292A46"/>
    <w:rsid w:val="00292C15"/>
    <w:rsid w:val="00293B32"/>
    <w:rsid w:val="00295152"/>
    <w:rsid w:val="00295E15"/>
    <w:rsid w:val="00296105"/>
    <w:rsid w:val="002977CF"/>
    <w:rsid w:val="002979D8"/>
    <w:rsid w:val="002A06D6"/>
    <w:rsid w:val="002A3C18"/>
    <w:rsid w:val="002A4120"/>
    <w:rsid w:val="002A429B"/>
    <w:rsid w:val="002A4B32"/>
    <w:rsid w:val="002A5730"/>
    <w:rsid w:val="002A586F"/>
    <w:rsid w:val="002A58C4"/>
    <w:rsid w:val="002A6DF0"/>
    <w:rsid w:val="002A70F7"/>
    <w:rsid w:val="002A73C1"/>
    <w:rsid w:val="002B002A"/>
    <w:rsid w:val="002B01D4"/>
    <w:rsid w:val="002B141E"/>
    <w:rsid w:val="002B1F86"/>
    <w:rsid w:val="002B32DD"/>
    <w:rsid w:val="002B3CEA"/>
    <w:rsid w:val="002B3DA7"/>
    <w:rsid w:val="002B6184"/>
    <w:rsid w:val="002B6A0A"/>
    <w:rsid w:val="002B6C6B"/>
    <w:rsid w:val="002B7197"/>
    <w:rsid w:val="002C00DA"/>
    <w:rsid w:val="002C0E6F"/>
    <w:rsid w:val="002C1B94"/>
    <w:rsid w:val="002C294B"/>
    <w:rsid w:val="002C2D31"/>
    <w:rsid w:val="002C3881"/>
    <w:rsid w:val="002C489F"/>
    <w:rsid w:val="002C66F7"/>
    <w:rsid w:val="002C7EA3"/>
    <w:rsid w:val="002D0B57"/>
    <w:rsid w:val="002D0D3A"/>
    <w:rsid w:val="002D0FA5"/>
    <w:rsid w:val="002D17B1"/>
    <w:rsid w:val="002D236F"/>
    <w:rsid w:val="002D24E1"/>
    <w:rsid w:val="002D4216"/>
    <w:rsid w:val="002D4735"/>
    <w:rsid w:val="002D5708"/>
    <w:rsid w:val="002D5B9B"/>
    <w:rsid w:val="002D6581"/>
    <w:rsid w:val="002D77AA"/>
    <w:rsid w:val="002E2131"/>
    <w:rsid w:val="002E4354"/>
    <w:rsid w:val="002E4C51"/>
    <w:rsid w:val="002E5201"/>
    <w:rsid w:val="002E59BC"/>
    <w:rsid w:val="002E60D6"/>
    <w:rsid w:val="002E64A2"/>
    <w:rsid w:val="002E7715"/>
    <w:rsid w:val="002E79F7"/>
    <w:rsid w:val="002F13A6"/>
    <w:rsid w:val="002F190E"/>
    <w:rsid w:val="002F1AE4"/>
    <w:rsid w:val="002F2AAB"/>
    <w:rsid w:val="002F2DFF"/>
    <w:rsid w:val="002F3698"/>
    <w:rsid w:val="002F58D9"/>
    <w:rsid w:val="002F6096"/>
    <w:rsid w:val="002F6506"/>
    <w:rsid w:val="002F68C3"/>
    <w:rsid w:val="002F6C35"/>
    <w:rsid w:val="002F7452"/>
    <w:rsid w:val="002F74AF"/>
    <w:rsid w:val="00300D11"/>
    <w:rsid w:val="00301DAB"/>
    <w:rsid w:val="00302E8C"/>
    <w:rsid w:val="00303E45"/>
    <w:rsid w:val="00304904"/>
    <w:rsid w:val="00304CE9"/>
    <w:rsid w:val="0030507A"/>
    <w:rsid w:val="003050C4"/>
    <w:rsid w:val="0030526D"/>
    <w:rsid w:val="00305369"/>
    <w:rsid w:val="0030675E"/>
    <w:rsid w:val="00306B06"/>
    <w:rsid w:val="003070C2"/>
    <w:rsid w:val="003077AE"/>
    <w:rsid w:val="00310951"/>
    <w:rsid w:val="00311F99"/>
    <w:rsid w:val="003120EA"/>
    <w:rsid w:val="003132DE"/>
    <w:rsid w:val="003135D2"/>
    <w:rsid w:val="00315072"/>
    <w:rsid w:val="0031602E"/>
    <w:rsid w:val="003163D7"/>
    <w:rsid w:val="00317222"/>
    <w:rsid w:val="003206EE"/>
    <w:rsid w:val="00320CBE"/>
    <w:rsid w:val="003212E4"/>
    <w:rsid w:val="00322225"/>
    <w:rsid w:val="00322C2F"/>
    <w:rsid w:val="00323704"/>
    <w:rsid w:val="00323C56"/>
    <w:rsid w:val="00323FA9"/>
    <w:rsid w:val="0032542A"/>
    <w:rsid w:val="00326FE5"/>
    <w:rsid w:val="0033105A"/>
    <w:rsid w:val="00333A96"/>
    <w:rsid w:val="00334AC4"/>
    <w:rsid w:val="00334C39"/>
    <w:rsid w:val="00340D1D"/>
    <w:rsid w:val="00344D2C"/>
    <w:rsid w:val="00346C42"/>
    <w:rsid w:val="00346E6E"/>
    <w:rsid w:val="00346E7F"/>
    <w:rsid w:val="00347058"/>
    <w:rsid w:val="00347942"/>
    <w:rsid w:val="0035206F"/>
    <w:rsid w:val="003520D0"/>
    <w:rsid w:val="0035274B"/>
    <w:rsid w:val="00354DA1"/>
    <w:rsid w:val="003557F0"/>
    <w:rsid w:val="003567B8"/>
    <w:rsid w:val="0036097D"/>
    <w:rsid w:val="00361F5C"/>
    <w:rsid w:val="00362273"/>
    <w:rsid w:val="00364858"/>
    <w:rsid w:val="00364A8D"/>
    <w:rsid w:val="00364E29"/>
    <w:rsid w:val="00366147"/>
    <w:rsid w:val="003679A4"/>
    <w:rsid w:val="00367D28"/>
    <w:rsid w:val="00370072"/>
    <w:rsid w:val="003700E4"/>
    <w:rsid w:val="003717A4"/>
    <w:rsid w:val="00371B48"/>
    <w:rsid w:val="0037294D"/>
    <w:rsid w:val="00373A11"/>
    <w:rsid w:val="003754E8"/>
    <w:rsid w:val="0037674E"/>
    <w:rsid w:val="003774B2"/>
    <w:rsid w:val="0037785F"/>
    <w:rsid w:val="003805F5"/>
    <w:rsid w:val="00380BD8"/>
    <w:rsid w:val="00382389"/>
    <w:rsid w:val="003836A6"/>
    <w:rsid w:val="00383974"/>
    <w:rsid w:val="0038424F"/>
    <w:rsid w:val="00384A06"/>
    <w:rsid w:val="00384C0E"/>
    <w:rsid w:val="00384D3A"/>
    <w:rsid w:val="00387FA0"/>
    <w:rsid w:val="00390758"/>
    <w:rsid w:val="00390800"/>
    <w:rsid w:val="00393208"/>
    <w:rsid w:val="003933C8"/>
    <w:rsid w:val="003947DD"/>
    <w:rsid w:val="00395839"/>
    <w:rsid w:val="00395F72"/>
    <w:rsid w:val="003A0027"/>
    <w:rsid w:val="003A05E3"/>
    <w:rsid w:val="003A21D0"/>
    <w:rsid w:val="003A281A"/>
    <w:rsid w:val="003A3BFC"/>
    <w:rsid w:val="003A7D7A"/>
    <w:rsid w:val="003A7F3C"/>
    <w:rsid w:val="003B25AA"/>
    <w:rsid w:val="003B30F3"/>
    <w:rsid w:val="003B5D0C"/>
    <w:rsid w:val="003B5EB3"/>
    <w:rsid w:val="003B7FE8"/>
    <w:rsid w:val="003C0032"/>
    <w:rsid w:val="003C09CE"/>
    <w:rsid w:val="003C0E67"/>
    <w:rsid w:val="003C1E7C"/>
    <w:rsid w:val="003C2A9E"/>
    <w:rsid w:val="003C72B0"/>
    <w:rsid w:val="003D05CE"/>
    <w:rsid w:val="003D1088"/>
    <w:rsid w:val="003D1638"/>
    <w:rsid w:val="003D2D5D"/>
    <w:rsid w:val="003D3222"/>
    <w:rsid w:val="003D3D30"/>
    <w:rsid w:val="003D4447"/>
    <w:rsid w:val="003D5DCA"/>
    <w:rsid w:val="003D6AAA"/>
    <w:rsid w:val="003D7F8A"/>
    <w:rsid w:val="003E134E"/>
    <w:rsid w:val="003E4C7F"/>
    <w:rsid w:val="003E4DFF"/>
    <w:rsid w:val="003E5149"/>
    <w:rsid w:val="003E5403"/>
    <w:rsid w:val="003E70EE"/>
    <w:rsid w:val="003E7550"/>
    <w:rsid w:val="003E7EEB"/>
    <w:rsid w:val="003F3E5B"/>
    <w:rsid w:val="003F516A"/>
    <w:rsid w:val="003F6331"/>
    <w:rsid w:val="003F675A"/>
    <w:rsid w:val="004003BC"/>
    <w:rsid w:val="00400450"/>
    <w:rsid w:val="00400872"/>
    <w:rsid w:val="00401542"/>
    <w:rsid w:val="00401D0C"/>
    <w:rsid w:val="00402E7F"/>
    <w:rsid w:val="004037B7"/>
    <w:rsid w:val="00404533"/>
    <w:rsid w:val="004060C0"/>
    <w:rsid w:val="004061BD"/>
    <w:rsid w:val="00406404"/>
    <w:rsid w:val="00406F8D"/>
    <w:rsid w:val="0041012E"/>
    <w:rsid w:val="00410D2A"/>
    <w:rsid w:val="00410F0E"/>
    <w:rsid w:val="0041131D"/>
    <w:rsid w:val="00411F4E"/>
    <w:rsid w:val="00412A64"/>
    <w:rsid w:val="00412AF8"/>
    <w:rsid w:val="0041304F"/>
    <w:rsid w:val="00413616"/>
    <w:rsid w:val="00413838"/>
    <w:rsid w:val="00414E51"/>
    <w:rsid w:val="00414F99"/>
    <w:rsid w:val="0041526C"/>
    <w:rsid w:val="004159FB"/>
    <w:rsid w:val="00415E51"/>
    <w:rsid w:val="00416696"/>
    <w:rsid w:val="00417777"/>
    <w:rsid w:val="004201AD"/>
    <w:rsid w:val="0042035E"/>
    <w:rsid w:val="00420B3E"/>
    <w:rsid w:val="00422DFE"/>
    <w:rsid w:val="00422E9B"/>
    <w:rsid w:val="00423EC5"/>
    <w:rsid w:val="00424BED"/>
    <w:rsid w:val="00425B54"/>
    <w:rsid w:val="00426A7D"/>
    <w:rsid w:val="00426D81"/>
    <w:rsid w:val="004307CD"/>
    <w:rsid w:val="00431166"/>
    <w:rsid w:val="004316CD"/>
    <w:rsid w:val="00431C7F"/>
    <w:rsid w:val="004321BE"/>
    <w:rsid w:val="00435166"/>
    <w:rsid w:val="00436672"/>
    <w:rsid w:val="0043674B"/>
    <w:rsid w:val="0043679E"/>
    <w:rsid w:val="00437275"/>
    <w:rsid w:val="00437503"/>
    <w:rsid w:val="00437A8F"/>
    <w:rsid w:val="00437B75"/>
    <w:rsid w:val="00437E4D"/>
    <w:rsid w:val="004411D7"/>
    <w:rsid w:val="00442475"/>
    <w:rsid w:val="00443005"/>
    <w:rsid w:val="004447D6"/>
    <w:rsid w:val="004449ED"/>
    <w:rsid w:val="00444AEA"/>
    <w:rsid w:val="004462AF"/>
    <w:rsid w:val="00447076"/>
    <w:rsid w:val="00450046"/>
    <w:rsid w:val="0045019C"/>
    <w:rsid w:val="00450FF6"/>
    <w:rsid w:val="00453699"/>
    <w:rsid w:val="00453900"/>
    <w:rsid w:val="004539E6"/>
    <w:rsid w:val="0045464F"/>
    <w:rsid w:val="00454F26"/>
    <w:rsid w:val="004553CB"/>
    <w:rsid w:val="00456F05"/>
    <w:rsid w:val="0045709B"/>
    <w:rsid w:val="0045754C"/>
    <w:rsid w:val="00462544"/>
    <w:rsid w:val="004627DE"/>
    <w:rsid w:val="00462AA8"/>
    <w:rsid w:val="0046332D"/>
    <w:rsid w:val="00463B2A"/>
    <w:rsid w:val="00463BC7"/>
    <w:rsid w:val="00463D07"/>
    <w:rsid w:val="00463F71"/>
    <w:rsid w:val="00464ABF"/>
    <w:rsid w:val="0046762C"/>
    <w:rsid w:val="004676C3"/>
    <w:rsid w:val="00470675"/>
    <w:rsid w:val="004706BB"/>
    <w:rsid w:val="004706C2"/>
    <w:rsid w:val="00470CA0"/>
    <w:rsid w:val="0047182C"/>
    <w:rsid w:val="00473428"/>
    <w:rsid w:val="00473B3E"/>
    <w:rsid w:val="00473C78"/>
    <w:rsid w:val="00475B5E"/>
    <w:rsid w:val="00475DC3"/>
    <w:rsid w:val="004767A9"/>
    <w:rsid w:val="00477126"/>
    <w:rsid w:val="00480A2D"/>
    <w:rsid w:val="004844BA"/>
    <w:rsid w:val="0048450B"/>
    <w:rsid w:val="0048755C"/>
    <w:rsid w:val="004905BD"/>
    <w:rsid w:val="004906C3"/>
    <w:rsid w:val="00490781"/>
    <w:rsid w:val="00490994"/>
    <w:rsid w:val="00491294"/>
    <w:rsid w:val="00493DD7"/>
    <w:rsid w:val="004941A5"/>
    <w:rsid w:val="00494FBE"/>
    <w:rsid w:val="00496806"/>
    <w:rsid w:val="00496CC0"/>
    <w:rsid w:val="00497EF3"/>
    <w:rsid w:val="004A054C"/>
    <w:rsid w:val="004A1087"/>
    <w:rsid w:val="004A2801"/>
    <w:rsid w:val="004A2F6F"/>
    <w:rsid w:val="004A525D"/>
    <w:rsid w:val="004A546F"/>
    <w:rsid w:val="004A6D14"/>
    <w:rsid w:val="004A74A1"/>
    <w:rsid w:val="004A7688"/>
    <w:rsid w:val="004A79F5"/>
    <w:rsid w:val="004B07AB"/>
    <w:rsid w:val="004B0C6D"/>
    <w:rsid w:val="004B0D82"/>
    <w:rsid w:val="004B33DD"/>
    <w:rsid w:val="004B3AD1"/>
    <w:rsid w:val="004C0902"/>
    <w:rsid w:val="004C0D4B"/>
    <w:rsid w:val="004C0F9F"/>
    <w:rsid w:val="004C1081"/>
    <w:rsid w:val="004C1E69"/>
    <w:rsid w:val="004C56BA"/>
    <w:rsid w:val="004C74E2"/>
    <w:rsid w:val="004C76DB"/>
    <w:rsid w:val="004C7C5B"/>
    <w:rsid w:val="004D0122"/>
    <w:rsid w:val="004D03A3"/>
    <w:rsid w:val="004D0995"/>
    <w:rsid w:val="004D0E63"/>
    <w:rsid w:val="004D22A1"/>
    <w:rsid w:val="004D3C19"/>
    <w:rsid w:val="004D5F67"/>
    <w:rsid w:val="004D65DF"/>
    <w:rsid w:val="004D71DB"/>
    <w:rsid w:val="004D7C87"/>
    <w:rsid w:val="004E141A"/>
    <w:rsid w:val="004E1818"/>
    <w:rsid w:val="004E3A5F"/>
    <w:rsid w:val="004E3A87"/>
    <w:rsid w:val="004E3E5A"/>
    <w:rsid w:val="004E447A"/>
    <w:rsid w:val="004E5317"/>
    <w:rsid w:val="004E5EB5"/>
    <w:rsid w:val="004E7BC9"/>
    <w:rsid w:val="004F076A"/>
    <w:rsid w:val="004F1E61"/>
    <w:rsid w:val="004F48AD"/>
    <w:rsid w:val="004F6CE1"/>
    <w:rsid w:val="004F743B"/>
    <w:rsid w:val="00500196"/>
    <w:rsid w:val="005002EB"/>
    <w:rsid w:val="005009CA"/>
    <w:rsid w:val="00503791"/>
    <w:rsid w:val="005042E5"/>
    <w:rsid w:val="00504940"/>
    <w:rsid w:val="005049F0"/>
    <w:rsid w:val="00505583"/>
    <w:rsid w:val="00505662"/>
    <w:rsid w:val="005072AD"/>
    <w:rsid w:val="0050799A"/>
    <w:rsid w:val="00507BEA"/>
    <w:rsid w:val="00510F9C"/>
    <w:rsid w:val="00512750"/>
    <w:rsid w:val="00512F51"/>
    <w:rsid w:val="00512F7C"/>
    <w:rsid w:val="005135AE"/>
    <w:rsid w:val="00514217"/>
    <w:rsid w:val="005142A8"/>
    <w:rsid w:val="00515415"/>
    <w:rsid w:val="00516E81"/>
    <w:rsid w:val="005173B6"/>
    <w:rsid w:val="00517CDB"/>
    <w:rsid w:val="005200A1"/>
    <w:rsid w:val="00521A25"/>
    <w:rsid w:val="00521E25"/>
    <w:rsid w:val="00522314"/>
    <w:rsid w:val="005267CB"/>
    <w:rsid w:val="00526ECD"/>
    <w:rsid w:val="00527498"/>
    <w:rsid w:val="00527BC6"/>
    <w:rsid w:val="00530E8E"/>
    <w:rsid w:val="005320D7"/>
    <w:rsid w:val="005329A5"/>
    <w:rsid w:val="00533945"/>
    <w:rsid w:val="00533CE0"/>
    <w:rsid w:val="0053483B"/>
    <w:rsid w:val="005358EE"/>
    <w:rsid w:val="00535CDC"/>
    <w:rsid w:val="0053661D"/>
    <w:rsid w:val="00536C02"/>
    <w:rsid w:val="005410B3"/>
    <w:rsid w:val="00541619"/>
    <w:rsid w:val="00542575"/>
    <w:rsid w:val="00542BE4"/>
    <w:rsid w:val="005440A1"/>
    <w:rsid w:val="00544314"/>
    <w:rsid w:val="00544678"/>
    <w:rsid w:val="00546FD4"/>
    <w:rsid w:val="00547725"/>
    <w:rsid w:val="00550480"/>
    <w:rsid w:val="00551578"/>
    <w:rsid w:val="0055252F"/>
    <w:rsid w:val="0055266E"/>
    <w:rsid w:val="00552C0E"/>
    <w:rsid w:val="005532BC"/>
    <w:rsid w:val="00554154"/>
    <w:rsid w:val="0055511E"/>
    <w:rsid w:val="00556DA1"/>
    <w:rsid w:val="005573D8"/>
    <w:rsid w:val="00560385"/>
    <w:rsid w:val="00561394"/>
    <w:rsid w:val="0056163D"/>
    <w:rsid w:val="005617D2"/>
    <w:rsid w:val="005625A9"/>
    <w:rsid w:val="00562E62"/>
    <w:rsid w:val="00563529"/>
    <w:rsid w:val="00565992"/>
    <w:rsid w:val="00566D1F"/>
    <w:rsid w:val="00566D66"/>
    <w:rsid w:val="00566F61"/>
    <w:rsid w:val="00567510"/>
    <w:rsid w:val="00567E9C"/>
    <w:rsid w:val="00567EB5"/>
    <w:rsid w:val="00571CA9"/>
    <w:rsid w:val="00572450"/>
    <w:rsid w:val="0057441C"/>
    <w:rsid w:val="00574D47"/>
    <w:rsid w:val="005751DB"/>
    <w:rsid w:val="005759B3"/>
    <w:rsid w:val="005767C1"/>
    <w:rsid w:val="00576B81"/>
    <w:rsid w:val="0058023C"/>
    <w:rsid w:val="00580DA1"/>
    <w:rsid w:val="00580F9B"/>
    <w:rsid w:val="005813FC"/>
    <w:rsid w:val="005823A3"/>
    <w:rsid w:val="00582819"/>
    <w:rsid w:val="00583C00"/>
    <w:rsid w:val="00585B00"/>
    <w:rsid w:val="005868C0"/>
    <w:rsid w:val="005873DF"/>
    <w:rsid w:val="00587A7B"/>
    <w:rsid w:val="00590896"/>
    <w:rsid w:val="00590F65"/>
    <w:rsid w:val="005910CB"/>
    <w:rsid w:val="0059160A"/>
    <w:rsid w:val="0059176D"/>
    <w:rsid w:val="00591F03"/>
    <w:rsid w:val="00592122"/>
    <w:rsid w:val="00592A05"/>
    <w:rsid w:val="00593921"/>
    <w:rsid w:val="005946AD"/>
    <w:rsid w:val="00594BC8"/>
    <w:rsid w:val="005960F3"/>
    <w:rsid w:val="005964B1"/>
    <w:rsid w:val="00597242"/>
    <w:rsid w:val="005972DE"/>
    <w:rsid w:val="005A1E98"/>
    <w:rsid w:val="005A315E"/>
    <w:rsid w:val="005A3958"/>
    <w:rsid w:val="005A3C4C"/>
    <w:rsid w:val="005A3D46"/>
    <w:rsid w:val="005A62C1"/>
    <w:rsid w:val="005A77B9"/>
    <w:rsid w:val="005A7BC0"/>
    <w:rsid w:val="005B0B7E"/>
    <w:rsid w:val="005B1C49"/>
    <w:rsid w:val="005B50BC"/>
    <w:rsid w:val="005B5293"/>
    <w:rsid w:val="005B707F"/>
    <w:rsid w:val="005B7411"/>
    <w:rsid w:val="005C0863"/>
    <w:rsid w:val="005C1BB0"/>
    <w:rsid w:val="005C3F03"/>
    <w:rsid w:val="005C4569"/>
    <w:rsid w:val="005C62CD"/>
    <w:rsid w:val="005C68E0"/>
    <w:rsid w:val="005C7F23"/>
    <w:rsid w:val="005D1794"/>
    <w:rsid w:val="005D2278"/>
    <w:rsid w:val="005D3736"/>
    <w:rsid w:val="005D3AC2"/>
    <w:rsid w:val="005D3E7F"/>
    <w:rsid w:val="005D4065"/>
    <w:rsid w:val="005D505A"/>
    <w:rsid w:val="005D50C4"/>
    <w:rsid w:val="005D5E25"/>
    <w:rsid w:val="005E0500"/>
    <w:rsid w:val="005E0B6C"/>
    <w:rsid w:val="005E1441"/>
    <w:rsid w:val="005E1D36"/>
    <w:rsid w:val="005E20F6"/>
    <w:rsid w:val="005E270A"/>
    <w:rsid w:val="005E375B"/>
    <w:rsid w:val="005E38E4"/>
    <w:rsid w:val="005E3AE1"/>
    <w:rsid w:val="005E421F"/>
    <w:rsid w:val="005E46AF"/>
    <w:rsid w:val="005E4D6C"/>
    <w:rsid w:val="005E6186"/>
    <w:rsid w:val="005E7211"/>
    <w:rsid w:val="005E7C6C"/>
    <w:rsid w:val="005F30A9"/>
    <w:rsid w:val="005F42C4"/>
    <w:rsid w:val="005F6C0E"/>
    <w:rsid w:val="005F6DAC"/>
    <w:rsid w:val="005F6F32"/>
    <w:rsid w:val="005F75DA"/>
    <w:rsid w:val="005F791F"/>
    <w:rsid w:val="00600D85"/>
    <w:rsid w:val="0060107F"/>
    <w:rsid w:val="00603012"/>
    <w:rsid w:val="00604615"/>
    <w:rsid w:val="00604E35"/>
    <w:rsid w:val="0060609A"/>
    <w:rsid w:val="006074EF"/>
    <w:rsid w:val="006078A1"/>
    <w:rsid w:val="006111F4"/>
    <w:rsid w:val="006115F1"/>
    <w:rsid w:val="00611C94"/>
    <w:rsid w:val="00612704"/>
    <w:rsid w:val="00615621"/>
    <w:rsid w:val="006159FA"/>
    <w:rsid w:val="00615DF2"/>
    <w:rsid w:val="006178DB"/>
    <w:rsid w:val="006207E2"/>
    <w:rsid w:val="00622C6A"/>
    <w:rsid w:val="00625045"/>
    <w:rsid w:val="006267B7"/>
    <w:rsid w:val="00627E2D"/>
    <w:rsid w:val="006318D0"/>
    <w:rsid w:val="0063201C"/>
    <w:rsid w:val="00632E99"/>
    <w:rsid w:val="0063444D"/>
    <w:rsid w:val="0063663B"/>
    <w:rsid w:val="00641B9D"/>
    <w:rsid w:val="00643B03"/>
    <w:rsid w:val="006454FE"/>
    <w:rsid w:val="00647AFE"/>
    <w:rsid w:val="0065053A"/>
    <w:rsid w:val="00650817"/>
    <w:rsid w:val="00650CA1"/>
    <w:rsid w:val="006528A7"/>
    <w:rsid w:val="00652BDC"/>
    <w:rsid w:val="006532D9"/>
    <w:rsid w:val="00654344"/>
    <w:rsid w:val="006556A8"/>
    <w:rsid w:val="00655BE2"/>
    <w:rsid w:val="00656C72"/>
    <w:rsid w:val="006574FB"/>
    <w:rsid w:val="00663BC6"/>
    <w:rsid w:val="00663FA4"/>
    <w:rsid w:val="00664BD3"/>
    <w:rsid w:val="0066537F"/>
    <w:rsid w:val="00670117"/>
    <w:rsid w:val="00671707"/>
    <w:rsid w:val="006726EA"/>
    <w:rsid w:val="00672801"/>
    <w:rsid w:val="0067335E"/>
    <w:rsid w:val="00673A26"/>
    <w:rsid w:val="00673B8A"/>
    <w:rsid w:val="006755EE"/>
    <w:rsid w:val="006761E7"/>
    <w:rsid w:val="0068022A"/>
    <w:rsid w:val="006805C0"/>
    <w:rsid w:val="00681D3D"/>
    <w:rsid w:val="00682079"/>
    <w:rsid w:val="00684D2D"/>
    <w:rsid w:val="00684E32"/>
    <w:rsid w:val="00685AAD"/>
    <w:rsid w:val="00686CAF"/>
    <w:rsid w:val="006909D1"/>
    <w:rsid w:val="00690E02"/>
    <w:rsid w:val="00691542"/>
    <w:rsid w:val="006921B9"/>
    <w:rsid w:val="00692BFB"/>
    <w:rsid w:val="00694018"/>
    <w:rsid w:val="00694422"/>
    <w:rsid w:val="0069475C"/>
    <w:rsid w:val="006970A9"/>
    <w:rsid w:val="006A024A"/>
    <w:rsid w:val="006A0F21"/>
    <w:rsid w:val="006A2BA6"/>
    <w:rsid w:val="006A38AD"/>
    <w:rsid w:val="006A44AB"/>
    <w:rsid w:val="006A5490"/>
    <w:rsid w:val="006A6ED4"/>
    <w:rsid w:val="006A6F09"/>
    <w:rsid w:val="006A6F66"/>
    <w:rsid w:val="006A7550"/>
    <w:rsid w:val="006B1A5F"/>
    <w:rsid w:val="006B2CD1"/>
    <w:rsid w:val="006B3683"/>
    <w:rsid w:val="006B6722"/>
    <w:rsid w:val="006B7C07"/>
    <w:rsid w:val="006B7CEE"/>
    <w:rsid w:val="006B7E37"/>
    <w:rsid w:val="006C0097"/>
    <w:rsid w:val="006C07B7"/>
    <w:rsid w:val="006C1B28"/>
    <w:rsid w:val="006C21FD"/>
    <w:rsid w:val="006C2384"/>
    <w:rsid w:val="006C36A9"/>
    <w:rsid w:val="006C5B49"/>
    <w:rsid w:val="006C627F"/>
    <w:rsid w:val="006C7267"/>
    <w:rsid w:val="006D03AB"/>
    <w:rsid w:val="006D2311"/>
    <w:rsid w:val="006D2D93"/>
    <w:rsid w:val="006D6EA6"/>
    <w:rsid w:val="006D7863"/>
    <w:rsid w:val="006E050B"/>
    <w:rsid w:val="006E13A2"/>
    <w:rsid w:val="006E3A1E"/>
    <w:rsid w:val="006E3C9F"/>
    <w:rsid w:val="006E48BB"/>
    <w:rsid w:val="006E4A1B"/>
    <w:rsid w:val="006E6846"/>
    <w:rsid w:val="006E7138"/>
    <w:rsid w:val="006E7A59"/>
    <w:rsid w:val="006E7E62"/>
    <w:rsid w:val="006F2314"/>
    <w:rsid w:val="006F2469"/>
    <w:rsid w:val="006F2BFB"/>
    <w:rsid w:val="006F3299"/>
    <w:rsid w:val="006F37B2"/>
    <w:rsid w:val="006F5D6D"/>
    <w:rsid w:val="006F6D32"/>
    <w:rsid w:val="006F73BC"/>
    <w:rsid w:val="006F7DB1"/>
    <w:rsid w:val="006F7FAD"/>
    <w:rsid w:val="007013F9"/>
    <w:rsid w:val="00702300"/>
    <w:rsid w:val="007027E5"/>
    <w:rsid w:val="00703603"/>
    <w:rsid w:val="007044C7"/>
    <w:rsid w:val="0070571F"/>
    <w:rsid w:val="00706453"/>
    <w:rsid w:val="00706908"/>
    <w:rsid w:val="00707363"/>
    <w:rsid w:val="007073A4"/>
    <w:rsid w:val="00711EEC"/>
    <w:rsid w:val="00712261"/>
    <w:rsid w:val="007134B8"/>
    <w:rsid w:val="007142DC"/>
    <w:rsid w:val="00716393"/>
    <w:rsid w:val="007164F8"/>
    <w:rsid w:val="0071698F"/>
    <w:rsid w:val="007169A3"/>
    <w:rsid w:val="00717295"/>
    <w:rsid w:val="0071729E"/>
    <w:rsid w:val="007210A0"/>
    <w:rsid w:val="00723723"/>
    <w:rsid w:val="0072430D"/>
    <w:rsid w:val="00724590"/>
    <w:rsid w:val="00724C12"/>
    <w:rsid w:val="007261C7"/>
    <w:rsid w:val="00726E4F"/>
    <w:rsid w:val="0072746B"/>
    <w:rsid w:val="00730BF3"/>
    <w:rsid w:val="00731276"/>
    <w:rsid w:val="0073159A"/>
    <w:rsid w:val="00733674"/>
    <w:rsid w:val="0073469B"/>
    <w:rsid w:val="00736402"/>
    <w:rsid w:val="0073664A"/>
    <w:rsid w:val="007379A6"/>
    <w:rsid w:val="00737E5F"/>
    <w:rsid w:val="007419A5"/>
    <w:rsid w:val="007419D1"/>
    <w:rsid w:val="007436EB"/>
    <w:rsid w:val="007447CF"/>
    <w:rsid w:val="00744C9A"/>
    <w:rsid w:val="0074519C"/>
    <w:rsid w:val="0074654E"/>
    <w:rsid w:val="00747461"/>
    <w:rsid w:val="00747948"/>
    <w:rsid w:val="00747C0F"/>
    <w:rsid w:val="00751420"/>
    <w:rsid w:val="007517AD"/>
    <w:rsid w:val="00751837"/>
    <w:rsid w:val="00751AC8"/>
    <w:rsid w:val="00752072"/>
    <w:rsid w:val="00752BDC"/>
    <w:rsid w:val="00753448"/>
    <w:rsid w:val="00753DAC"/>
    <w:rsid w:val="0075462B"/>
    <w:rsid w:val="007569B6"/>
    <w:rsid w:val="00757E0C"/>
    <w:rsid w:val="007600D8"/>
    <w:rsid w:val="00762E16"/>
    <w:rsid w:val="00763D0F"/>
    <w:rsid w:val="0076568D"/>
    <w:rsid w:val="0076585C"/>
    <w:rsid w:val="00765E00"/>
    <w:rsid w:val="00766743"/>
    <w:rsid w:val="00766A99"/>
    <w:rsid w:val="00767618"/>
    <w:rsid w:val="00767BD0"/>
    <w:rsid w:val="00767D06"/>
    <w:rsid w:val="00770D8D"/>
    <w:rsid w:val="00770F9C"/>
    <w:rsid w:val="00775B12"/>
    <w:rsid w:val="007826FF"/>
    <w:rsid w:val="00782941"/>
    <w:rsid w:val="00782BF3"/>
    <w:rsid w:val="0078309C"/>
    <w:rsid w:val="00783700"/>
    <w:rsid w:val="00783CEF"/>
    <w:rsid w:val="00783F17"/>
    <w:rsid w:val="007855D3"/>
    <w:rsid w:val="00787027"/>
    <w:rsid w:val="007871AF"/>
    <w:rsid w:val="00787D7A"/>
    <w:rsid w:val="0079029D"/>
    <w:rsid w:val="007930D0"/>
    <w:rsid w:val="007937EC"/>
    <w:rsid w:val="00794E16"/>
    <w:rsid w:val="007953BC"/>
    <w:rsid w:val="00796CF1"/>
    <w:rsid w:val="0079761C"/>
    <w:rsid w:val="007A151A"/>
    <w:rsid w:val="007A1BAA"/>
    <w:rsid w:val="007A2382"/>
    <w:rsid w:val="007A2A8E"/>
    <w:rsid w:val="007A2B71"/>
    <w:rsid w:val="007A64E4"/>
    <w:rsid w:val="007A6A0D"/>
    <w:rsid w:val="007B04AA"/>
    <w:rsid w:val="007B0979"/>
    <w:rsid w:val="007B39F1"/>
    <w:rsid w:val="007B44EF"/>
    <w:rsid w:val="007B5D85"/>
    <w:rsid w:val="007B5DC9"/>
    <w:rsid w:val="007B6EEA"/>
    <w:rsid w:val="007B756F"/>
    <w:rsid w:val="007B7690"/>
    <w:rsid w:val="007C035E"/>
    <w:rsid w:val="007C0F17"/>
    <w:rsid w:val="007C18AD"/>
    <w:rsid w:val="007C1CB7"/>
    <w:rsid w:val="007C1EAA"/>
    <w:rsid w:val="007C1F85"/>
    <w:rsid w:val="007C25FD"/>
    <w:rsid w:val="007C28A9"/>
    <w:rsid w:val="007C42D2"/>
    <w:rsid w:val="007C785D"/>
    <w:rsid w:val="007D1BFE"/>
    <w:rsid w:val="007D21C3"/>
    <w:rsid w:val="007D337B"/>
    <w:rsid w:val="007D41F5"/>
    <w:rsid w:val="007D5882"/>
    <w:rsid w:val="007D738F"/>
    <w:rsid w:val="007D7835"/>
    <w:rsid w:val="007E0C3E"/>
    <w:rsid w:val="007E0CB0"/>
    <w:rsid w:val="007E3285"/>
    <w:rsid w:val="007E3CDD"/>
    <w:rsid w:val="007E4933"/>
    <w:rsid w:val="007E59DF"/>
    <w:rsid w:val="007E750C"/>
    <w:rsid w:val="007E7BCF"/>
    <w:rsid w:val="007F01B4"/>
    <w:rsid w:val="007F2069"/>
    <w:rsid w:val="007F2921"/>
    <w:rsid w:val="007F2FA3"/>
    <w:rsid w:val="007F3783"/>
    <w:rsid w:val="007F644D"/>
    <w:rsid w:val="007F6DBE"/>
    <w:rsid w:val="00800FDD"/>
    <w:rsid w:val="00803F97"/>
    <w:rsid w:val="008065F7"/>
    <w:rsid w:val="00810202"/>
    <w:rsid w:val="008109AA"/>
    <w:rsid w:val="0081331B"/>
    <w:rsid w:val="008147E1"/>
    <w:rsid w:val="00815D5E"/>
    <w:rsid w:val="008161C0"/>
    <w:rsid w:val="0082003E"/>
    <w:rsid w:val="00820139"/>
    <w:rsid w:val="008203B7"/>
    <w:rsid w:val="00820CFE"/>
    <w:rsid w:val="00821498"/>
    <w:rsid w:val="00821D72"/>
    <w:rsid w:val="00822066"/>
    <w:rsid w:val="008234FD"/>
    <w:rsid w:val="00823C87"/>
    <w:rsid w:val="0082528B"/>
    <w:rsid w:val="00825ACA"/>
    <w:rsid w:val="00825EA4"/>
    <w:rsid w:val="008265F5"/>
    <w:rsid w:val="008266AF"/>
    <w:rsid w:val="008268BD"/>
    <w:rsid w:val="00830579"/>
    <w:rsid w:val="00831D25"/>
    <w:rsid w:val="00832485"/>
    <w:rsid w:val="00833B4A"/>
    <w:rsid w:val="0083514C"/>
    <w:rsid w:val="008352CD"/>
    <w:rsid w:val="00840C32"/>
    <w:rsid w:val="008411F6"/>
    <w:rsid w:val="0084133E"/>
    <w:rsid w:val="008429B5"/>
    <w:rsid w:val="0084390A"/>
    <w:rsid w:val="00843A46"/>
    <w:rsid w:val="00844B5E"/>
    <w:rsid w:val="00845D64"/>
    <w:rsid w:val="00847DC0"/>
    <w:rsid w:val="008528E8"/>
    <w:rsid w:val="0085350F"/>
    <w:rsid w:val="00854D47"/>
    <w:rsid w:val="00855BBB"/>
    <w:rsid w:val="00856841"/>
    <w:rsid w:val="00856897"/>
    <w:rsid w:val="00856CEA"/>
    <w:rsid w:val="00857050"/>
    <w:rsid w:val="00860FA5"/>
    <w:rsid w:val="008617AB"/>
    <w:rsid w:val="00862BD9"/>
    <w:rsid w:val="00862E23"/>
    <w:rsid w:val="00863E28"/>
    <w:rsid w:val="00864EE5"/>
    <w:rsid w:val="008669B0"/>
    <w:rsid w:val="00866CA2"/>
    <w:rsid w:val="00866D27"/>
    <w:rsid w:val="00867476"/>
    <w:rsid w:val="008708CC"/>
    <w:rsid w:val="00874C17"/>
    <w:rsid w:val="008760C1"/>
    <w:rsid w:val="00876408"/>
    <w:rsid w:val="00877B6B"/>
    <w:rsid w:val="00877FAB"/>
    <w:rsid w:val="0088186E"/>
    <w:rsid w:val="00882362"/>
    <w:rsid w:val="00882389"/>
    <w:rsid w:val="0088349B"/>
    <w:rsid w:val="00884DFD"/>
    <w:rsid w:val="00884FE6"/>
    <w:rsid w:val="00885189"/>
    <w:rsid w:val="00886484"/>
    <w:rsid w:val="008864A8"/>
    <w:rsid w:val="00886E9C"/>
    <w:rsid w:val="00887129"/>
    <w:rsid w:val="008878ED"/>
    <w:rsid w:val="00887AE3"/>
    <w:rsid w:val="00887EAF"/>
    <w:rsid w:val="00890C21"/>
    <w:rsid w:val="00892D66"/>
    <w:rsid w:val="00894DEB"/>
    <w:rsid w:val="008976AC"/>
    <w:rsid w:val="008978AA"/>
    <w:rsid w:val="008A02C7"/>
    <w:rsid w:val="008A0308"/>
    <w:rsid w:val="008A049E"/>
    <w:rsid w:val="008A067D"/>
    <w:rsid w:val="008A1801"/>
    <w:rsid w:val="008A48A5"/>
    <w:rsid w:val="008A4D9B"/>
    <w:rsid w:val="008A6661"/>
    <w:rsid w:val="008A6912"/>
    <w:rsid w:val="008A6D2F"/>
    <w:rsid w:val="008A6F1E"/>
    <w:rsid w:val="008B0FF7"/>
    <w:rsid w:val="008B15D5"/>
    <w:rsid w:val="008B33C9"/>
    <w:rsid w:val="008B41D9"/>
    <w:rsid w:val="008B47A9"/>
    <w:rsid w:val="008B63FD"/>
    <w:rsid w:val="008B68A3"/>
    <w:rsid w:val="008B6B75"/>
    <w:rsid w:val="008B6CDE"/>
    <w:rsid w:val="008B72F1"/>
    <w:rsid w:val="008C0E1E"/>
    <w:rsid w:val="008C159F"/>
    <w:rsid w:val="008C3526"/>
    <w:rsid w:val="008C35BD"/>
    <w:rsid w:val="008C366C"/>
    <w:rsid w:val="008C43F0"/>
    <w:rsid w:val="008C4908"/>
    <w:rsid w:val="008C4E28"/>
    <w:rsid w:val="008C6109"/>
    <w:rsid w:val="008C6939"/>
    <w:rsid w:val="008C78B8"/>
    <w:rsid w:val="008D04A4"/>
    <w:rsid w:val="008D1452"/>
    <w:rsid w:val="008D2B33"/>
    <w:rsid w:val="008D2F5C"/>
    <w:rsid w:val="008D379A"/>
    <w:rsid w:val="008D573F"/>
    <w:rsid w:val="008D6749"/>
    <w:rsid w:val="008D70C3"/>
    <w:rsid w:val="008D75EE"/>
    <w:rsid w:val="008D7B6C"/>
    <w:rsid w:val="008E0B64"/>
    <w:rsid w:val="008E2200"/>
    <w:rsid w:val="008E2AB0"/>
    <w:rsid w:val="008E2D7E"/>
    <w:rsid w:val="008E4399"/>
    <w:rsid w:val="008E7950"/>
    <w:rsid w:val="008F09F0"/>
    <w:rsid w:val="008F0C6B"/>
    <w:rsid w:val="008F1637"/>
    <w:rsid w:val="008F47DB"/>
    <w:rsid w:val="008F5259"/>
    <w:rsid w:val="008F5ED8"/>
    <w:rsid w:val="008F651D"/>
    <w:rsid w:val="008F6B64"/>
    <w:rsid w:val="009019D8"/>
    <w:rsid w:val="00901B08"/>
    <w:rsid w:val="009036BB"/>
    <w:rsid w:val="009146EC"/>
    <w:rsid w:val="00916D88"/>
    <w:rsid w:val="0092017A"/>
    <w:rsid w:val="009208DC"/>
    <w:rsid w:val="009213BC"/>
    <w:rsid w:val="009228C6"/>
    <w:rsid w:val="00923E05"/>
    <w:rsid w:val="0092506F"/>
    <w:rsid w:val="00925474"/>
    <w:rsid w:val="009257E2"/>
    <w:rsid w:val="009259F9"/>
    <w:rsid w:val="00925D4C"/>
    <w:rsid w:val="0092682D"/>
    <w:rsid w:val="009310E8"/>
    <w:rsid w:val="00931623"/>
    <w:rsid w:val="00933243"/>
    <w:rsid w:val="009337D7"/>
    <w:rsid w:val="00933A6F"/>
    <w:rsid w:val="009354AC"/>
    <w:rsid w:val="009363F2"/>
    <w:rsid w:val="00937036"/>
    <w:rsid w:val="00940222"/>
    <w:rsid w:val="00940C4E"/>
    <w:rsid w:val="009411CC"/>
    <w:rsid w:val="00941B3A"/>
    <w:rsid w:val="00941C61"/>
    <w:rsid w:val="00942DF3"/>
    <w:rsid w:val="009434E4"/>
    <w:rsid w:val="00944FDA"/>
    <w:rsid w:val="00945236"/>
    <w:rsid w:val="00945DA2"/>
    <w:rsid w:val="00946650"/>
    <w:rsid w:val="0094712A"/>
    <w:rsid w:val="0095005B"/>
    <w:rsid w:val="00950259"/>
    <w:rsid w:val="00951C15"/>
    <w:rsid w:val="0095256E"/>
    <w:rsid w:val="00954818"/>
    <w:rsid w:val="0095493B"/>
    <w:rsid w:val="00954CD1"/>
    <w:rsid w:val="00955D46"/>
    <w:rsid w:val="00961098"/>
    <w:rsid w:val="009621C3"/>
    <w:rsid w:val="009623DC"/>
    <w:rsid w:val="00962446"/>
    <w:rsid w:val="0096350A"/>
    <w:rsid w:val="00964B36"/>
    <w:rsid w:val="00964D27"/>
    <w:rsid w:val="00965996"/>
    <w:rsid w:val="009662E6"/>
    <w:rsid w:val="009663B4"/>
    <w:rsid w:val="0096746A"/>
    <w:rsid w:val="009678F9"/>
    <w:rsid w:val="00970AE1"/>
    <w:rsid w:val="00970F83"/>
    <w:rsid w:val="009725DB"/>
    <w:rsid w:val="009730E0"/>
    <w:rsid w:val="00973873"/>
    <w:rsid w:val="00975FA1"/>
    <w:rsid w:val="00976226"/>
    <w:rsid w:val="009769E7"/>
    <w:rsid w:val="009839B6"/>
    <w:rsid w:val="009854C1"/>
    <w:rsid w:val="00985EB5"/>
    <w:rsid w:val="00987468"/>
    <w:rsid w:val="00987D82"/>
    <w:rsid w:val="0099042A"/>
    <w:rsid w:val="0099090C"/>
    <w:rsid w:val="00990C29"/>
    <w:rsid w:val="009911F9"/>
    <w:rsid w:val="0099160B"/>
    <w:rsid w:val="00991A10"/>
    <w:rsid w:val="00994D22"/>
    <w:rsid w:val="00995427"/>
    <w:rsid w:val="009957FD"/>
    <w:rsid w:val="00995CCC"/>
    <w:rsid w:val="00996601"/>
    <w:rsid w:val="00996C5D"/>
    <w:rsid w:val="00996CC8"/>
    <w:rsid w:val="00996F70"/>
    <w:rsid w:val="009970D7"/>
    <w:rsid w:val="009A1861"/>
    <w:rsid w:val="009A4890"/>
    <w:rsid w:val="009A4DF9"/>
    <w:rsid w:val="009A4F9D"/>
    <w:rsid w:val="009B18AA"/>
    <w:rsid w:val="009B3589"/>
    <w:rsid w:val="009B4B35"/>
    <w:rsid w:val="009B562A"/>
    <w:rsid w:val="009B5A63"/>
    <w:rsid w:val="009C014A"/>
    <w:rsid w:val="009C10A2"/>
    <w:rsid w:val="009C1334"/>
    <w:rsid w:val="009C2087"/>
    <w:rsid w:val="009C75DA"/>
    <w:rsid w:val="009C763E"/>
    <w:rsid w:val="009C7766"/>
    <w:rsid w:val="009D0DA6"/>
    <w:rsid w:val="009D2913"/>
    <w:rsid w:val="009D2B03"/>
    <w:rsid w:val="009D3F49"/>
    <w:rsid w:val="009D49CC"/>
    <w:rsid w:val="009D5EB3"/>
    <w:rsid w:val="009D6D31"/>
    <w:rsid w:val="009E032C"/>
    <w:rsid w:val="009E2099"/>
    <w:rsid w:val="009E2405"/>
    <w:rsid w:val="009E2AE0"/>
    <w:rsid w:val="009E2D1C"/>
    <w:rsid w:val="009E499D"/>
    <w:rsid w:val="009E5F24"/>
    <w:rsid w:val="009E6C14"/>
    <w:rsid w:val="009E6CEE"/>
    <w:rsid w:val="009E7559"/>
    <w:rsid w:val="009E76DF"/>
    <w:rsid w:val="009F05E5"/>
    <w:rsid w:val="009F2283"/>
    <w:rsid w:val="009F30DF"/>
    <w:rsid w:val="009F34A5"/>
    <w:rsid w:val="009F3A1A"/>
    <w:rsid w:val="009F4166"/>
    <w:rsid w:val="009F638B"/>
    <w:rsid w:val="009F713D"/>
    <w:rsid w:val="00A00ED5"/>
    <w:rsid w:val="00A00EE4"/>
    <w:rsid w:val="00A01D74"/>
    <w:rsid w:val="00A03AAC"/>
    <w:rsid w:val="00A03B1C"/>
    <w:rsid w:val="00A04186"/>
    <w:rsid w:val="00A0441D"/>
    <w:rsid w:val="00A056A1"/>
    <w:rsid w:val="00A06388"/>
    <w:rsid w:val="00A06A3F"/>
    <w:rsid w:val="00A06B68"/>
    <w:rsid w:val="00A07291"/>
    <w:rsid w:val="00A10291"/>
    <w:rsid w:val="00A11F28"/>
    <w:rsid w:val="00A15468"/>
    <w:rsid w:val="00A163B4"/>
    <w:rsid w:val="00A164A4"/>
    <w:rsid w:val="00A17662"/>
    <w:rsid w:val="00A17B6F"/>
    <w:rsid w:val="00A20AC0"/>
    <w:rsid w:val="00A20CDC"/>
    <w:rsid w:val="00A21064"/>
    <w:rsid w:val="00A21792"/>
    <w:rsid w:val="00A2201F"/>
    <w:rsid w:val="00A223EE"/>
    <w:rsid w:val="00A23A79"/>
    <w:rsid w:val="00A23D62"/>
    <w:rsid w:val="00A23FE0"/>
    <w:rsid w:val="00A24739"/>
    <w:rsid w:val="00A252C2"/>
    <w:rsid w:val="00A26A87"/>
    <w:rsid w:val="00A271EA"/>
    <w:rsid w:val="00A30928"/>
    <w:rsid w:val="00A31843"/>
    <w:rsid w:val="00A33701"/>
    <w:rsid w:val="00A33734"/>
    <w:rsid w:val="00A33C76"/>
    <w:rsid w:val="00A33F5A"/>
    <w:rsid w:val="00A34948"/>
    <w:rsid w:val="00A370AF"/>
    <w:rsid w:val="00A37161"/>
    <w:rsid w:val="00A409DC"/>
    <w:rsid w:val="00A41461"/>
    <w:rsid w:val="00A436C3"/>
    <w:rsid w:val="00A47198"/>
    <w:rsid w:val="00A4748F"/>
    <w:rsid w:val="00A50941"/>
    <w:rsid w:val="00A50CE9"/>
    <w:rsid w:val="00A52D40"/>
    <w:rsid w:val="00A532E2"/>
    <w:rsid w:val="00A5352F"/>
    <w:rsid w:val="00A538DE"/>
    <w:rsid w:val="00A53DB8"/>
    <w:rsid w:val="00A55392"/>
    <w:rsid w:val="00A553A0"/>
    <w:rsid w:val="00A605E4"/>
    <w:rsid w:val="00A610E9"/>
    <w:rsid w:val="00A614C8"/>
    <w:rsid w:val="00A61667"/>
    <w:rsid w:val="00A64188"/>
    <w:rsid w:val="00A6485B"/>
    <w:rsid w:val="00A66A0B"/>
    <w:rsid w:val="00A66AB2"/>
    <w:rsid w:val="00A66BA8"/>
    <w:rsid w:val="00A701F3"/>
    <w:rsid w:val="00A70655"/>
    <w:rsid w:val="00A70E8F"/>
    <w:rsid w:val="00A70EE2"/>
    <w:rsid w:val="00A72797"/>
    <w:rsid w:val="00A7315F"/>
    <w:rsid w:val="00A741E3"/>
    <w:rsid w:val="00A756C0"/>
    <w:rsid w:val="00A767C1"/>
    <w:rsid w:val="00A768C3"/>
    <w:rsid w:val="00A81D06"/>
    <w:rsid w:val="00A8222E"/>
    <w:rsid w:val="00A829D1"/>
    <w:rsid w:val="00A839A2"/>
    <w:rsid w:val="00A842A6"/>
    <w:rsid w:val="00A849A9"/>
    <w:rsid w:val="00A90D9F"/>
    <w:rsid w:val="00A91D56"/>
    <w:rsid w:val="00A93E6F"/>
    <w:rsid w:val="00A94447"/>
    <w:rsid w:val="00A95923"/>
    <w:rsid w:val="00A97E1D"/>
    <w:rsid w:val="00AA041F"/>
    <w:rsid w:val="00AA0638"/>
    <w:rsid w:val="00AA1A5C"/>
    <w:rsid w:val="00AA29C7"/>
    <w:rsid w:val="00AA2EE9"/>
    <w:rsid w:val="00AA3F79"/>
    <w:rsid w:val="00AA4958"/>
    <w:rsid w:val="00AA4D66"/>
    <w:rsid w:val="00AA4DA9"/>
    <w:rsid w:val="00AA634C"/>
    <w:rsid w:val="00AA6AF8"/>
    <w:rsid w:val="00AA7632"/>
    <w:rsid w:val="00AA7B08"/>
    <w:rsid w:val="00AB04CE"/>
    <w:rsid w:val="00AB11A6"/>
    <w:rsid w:val="00AB24B7"/>
    <w:rsid w:val="00AB3AC8"/>
    <w:rsid w:val="00AB53B5"/>
    <w:rsid w:val="00AB73F4"/>
    <w:rsid w:val="00AC0918"/>
    <w:rsid w:val="00AC0BAB"/>
    <w:rsid w:val="00AC0CEF"/>
    <w:rsid w:val="00AC22B6"/>
    <w:rsid w:val="00AC25B0"/>
    <w:rsid w:val="00AC2652"/>
    <w:rsid w:val="00AC5456"/>
    <w:rsid w:val="00AD0FED"/>
    <w:rsid w:val="00AD14DD"/>
    <w:rsid w:val="00AD1A87"/>
    <w:rsid w:val="00AD1D87"/>
    <w:rsid w:val="00AD2BAF"/>
    <w:rsid w:val="00AD3ADB"/>
    <w:rsid w:val="00AD581A"/>
    <w:rsid w:val="00AD5B02"/>
    <w:rsid w:val="00AD5E39"/>
    <w:rsid w:val="00AD68B5"/>
    <w:rsid w:val="00AD7AB2"/>
    <w:rsid w:val="00AD7D84"/>
    <w:rsid w:val="00AE0027"/>
    <w:rsid w:val="00AE09B4"/>
    <w:rsid w:val="00AE0B7A"/>
    <w:rsid w:val="00AE19DA"/>
    <w:rsid w:val="00AE20F6"/>
    <w:rsid w:val="00AE2E6C"/>
    <w:rsid w:val="00AE331F"/>
    <w:rsid w:val="00AE34CC"/>
    <w:rsid w:val="00AE3EF3"/>
    <w:rsid w:val="00AE7D71"/>
    <w:rsid w:val="00AF1318"/>
    <w:rsid w:val="00AF38AD"/>
    <w:rsid w:val="00AF39A9"/>
    <w:rsid w:val="00AF3ABF"/>
    <w:rsid w:val="00AF3B20"/>
    <w:rsid w:val="00AF4965"/>
    <w:rsid w:val="00AF4BA5"/>
    <w:rsid w:val="00AF5856"/>
    <w:rsid w:val="00AF6EDB"/>
    <w:rsid w:val="00AF7389"/>
    <w:rsid w:val="00AF7DEF"/>
    <w:rsid w:val="00B01006"/>
    <w:rsid w:val="00B021A7"/>
    <w:rsid w:val="00B0294C"/>
    <w:rsid w:val="00B03BD0"/>
    <w:rsid w:val="00B05211"/>
    <w:rsid w:val="00B062ED"/>
    <w:rsid w:val="00B06CEA"/>
    <w:rsid w:val="00B10302"/>
    <w:rsid w:val="00B113AA"/>
    <w:rsid w:val="00B11A19"/>
    <w:rsid w:val="00B121E0"/>
    <w:rsid w:val="00B133C2"/>
    <w:rsid w:val="00B14282"/>
    <w:rsid w:val="00B1596C"/>
    <w:rsid w:val="00B15F5E"/>
    <w:rsid w:val="00B16286"/>
    <w:rsid w:val="00B16AC3"/>
    <w:rsid w:val="00B2034B"/>
    <w:rsid w:val="00B20C1B"/>
    <w:rsid w:val="00B22877"/>
    <w:rsid w:val="00B234CB"/>
    <w:rsid w:val="00B24CA4"/>
    <w:rsid w:val="00B2578A"/>
    <w:rsid w:val="00B316EC"/>
    <w:rsid w:val="00B31FE8"/>
    <w:rsid w:val="00B324FE"/>
    <w:rsid w:val="00B33D24"/>
    <w:rsid w:val="00B3462C"/>
    <w:rsid w:val="00B36909"/>
    <w:rsid w:val="00B377FE"/>
    <w:rsid w:val="00B37B4F"/>
    <w:rsid w:val="00B37D9E"/>
    <w:rsid w:val="00B402E9"/>
    <w:rsid w:val="00B40720"/>
    <w:rsid w:val="00B40E3D"/>
    <w:rsid w:val="00B4289C"/>
    <w:rsid w:val="00B438F1"/>
    <w:rsid w:val="00B440E2"/>
    <w:rsid w:val="00B4495A"/>
    <w:rsid w:val="00B44CEC"/>
    <w:rsid w:val="00B4579C"/>
    <w:rsid w:val="00B46A32"/>
    <w:rsid w:val="00B4785E"/>
    <w:rsid w:val="00B47E87"/>
    <w:rsid w:val="00B50236"/>
    <w:rsid w:val="00B52D3C"/>
    <w:rsid w:val="00B53403"/>
    <w:rsid w:val="00B55A6F"/>
    <w:rsid w:val="00B6318E"/>
    <w:rsid w:val="00B637D2"/>
    <w:rsid w:val="00B640C4"/>
    <w:rsid w:val="00B6420D"/>
    <w:rsid w:val="00B649D3"/>
    <w:rsid w:val="00B64A10"/>
    <w:rsid w:val="00B64F08"/>
    <w:rsid w:val="00B65B86"/>
    <w:rsid w:val="00B66043"/>
    <w:rsid w:val="00B66353"/>
    <w:rsid w:val="00B666E8"/>
    <w:rsid w:val="00B66F56"/>
    <w:rsid w:val="00B67C58"/>
    <w:rsid w:val="00B67E5A"/>
    <w:rsid w:val="00B706BA"/>
    <w:rsid w:val="00B71552"/>
    <w:rsid w:val="00B71631"/>
    <w:rsid w:val="00B71C4A"/>
    <w:rsid w:val="00B73231"/>
    <w:rsid w:val="00B76A57"/>
    <w:rsid w:val="00B774B3"/>
    <w:rsid w:val="00B77F3C"/>
    <w:rsid w:val="00B80B0A"/>
    <w:rsid w:val="00B80D0A"/>
    <w:rsid w:val="00B81ADA"/>
    <w:rsid w:val="00B82B7E"/>
    <w:rsid w:val="00B82F15"/>
    <w:rsid w:val="00B846FD"/>
    <w:rsid w:val="00B84934"/>
    <w:rsid w:val="00B85DE9"/>
    <w:rsid w:val="00B860CA"/>
    <w:rsid w:val="00B902EA"/>
    <w:rsid w:val="00B905FD"/>
    <w:rsid w:val="00B92D94"/>
    <w:rsid w:val="00B92EFD"/>
    <w:rsid w:val="00B94FCE"/>
    <w:rsid w:val="00B96275"/>
    <w:rsid w:val="00BA09DE"/>
    <w:rsid w:val="00BA3EBB"/>
    <w:rsid w:val="00BA4369"/>
    <w:rsid w:val="00BA6BFB"/>
    <w:rsid w:val="00BA70C7"/>
    <w:rsid w:val="00BA7D3A"/>
    <w:rsid w:val="00BB0EAA"/>
    <w:rsid w:val="00BB2F6D"/>
    <w:rsid w:val="00BB52C1"/>
    <w:rsid w:val="00BB77C6"/>
    <w:rsid w:val="00BC0DEA"/>
    <w:rsid w:val="00BC1AE1"/>
    <w:rsid w:val="00BC3AED"/>
    <w:rsid w:val="00BC3C53"/>
    <w:rsid w:val="00BC3DCF"/>
    <w:rsid w:val="00BC40B5"/>
    <w:rsid w:val="00BC53FC"/>
    <w:rsid w:val="00BC6290"/>
    <w:rsid w:val="00BC6B85"/>
    <w:rsid w:val="00BC7931"/>
    <w:rsid w:val="00BD04A8"/>
    <w:rsid w:val="00BD0A7C"/>
    <w:rsid w:val="00BD3174"/>
    <w:rsid w:val="00BD502B"/>
    <w:rsid w:val="00BD66CF"/>
    <w:rsid w:val="00BE0029"/>
    <w:rsid w:val="00BE0FF3"/>
    <w:rsid w:val="00BE1020"/>
    <w:rsid w:val="00BE16EF"/>
    <w:rsid w:val="00BE1802"/>
    <w:rsid w:val="00BE26DF"/>
    <w:rsid w:val="00BE29C2"/>
    <w:rsid w:val="00BE3533"/>
    <w:rsid w:val="00BE4366"/>
    <w:rsid w:val="00BE4EBA"/>
    <w:rsid w:val="00BE7E70"/>
    <w:rsid w:val="00BF010B"/>
    <w:rsid w:val="00BF013C"/>
    <w:rsid w:val="00BF339F"/>
    <w:rsid w:val="00BF50F0"/>
    <w:rsid w:val="00C0251B"/>
    <w:rsid w:val="00C02C9A"/>
    <w:rsid w:val="00C035C5"/>
    <w:rsid w:val="00C03E81"/>
    <w:rsid w:val="00C04B6B"/>
    <w:rsid w:val="00C059E5"/>
    <w:rsid w:val="00C0746C"/>
    <w:rsid w:val="00C1029C"/>
    <w:rsid w:val="00C12BEA"/>
    <w:rsid w:val="00C15E60"/>
    <w:rsid w:val="00C224D3"/>
    <w:rsid w:val="00C2494B"/>
    <w:rsid w:val="00C2667C"/>
    <w:rsid w:val="00C27089"/>
    <w:rsid w:val="00C27531"/>
    <w:rsid w:val="00C31064"/>
    <w:rsid w:val="00C3255D"/>
    <w:rsid w:val="00C326BE"/>
    <w:rsid w:val="00C332D5"/>
    <w:rsid w:val="00C36901"/>
    <w:rsid w:val="00C36C33"/>
    <w:rsid w:val="00C37AD3"/>
    <w:rsid w:val="00C406BE"/>
    <w:rsid w:val="00C40D24"/>
    <w:rsid w:val="00C415D1"/>
    <w:rsid w:val="00C440DF"/>
    <w:rsid w:val="00C444FE"/>
    <w:rsid w:val="00C45C95"/>
    <w:rsid w:val="00C50E34"/>
    <w:rsid w:val="00C52CBD"/>
    <w:rsid w:val="00C544C2"/>
    <w:rsid w:val="00C5668C"/>
    <w:rsid w:val="00C56DB6"/>
    <w:rsid w:val="00C60D69"/>
    <w:rsid w:val="00C62A11"/>
    <w:rsid w:val="00C62FE2"/>
    <w:rsid w:val="00C63B74"/>
    <w:rsid w:val="00C63D22"/>
    <w:rsid w:val="00C6405E"/>
    <w:rsid w:val="00C65499"/>
    <w:rsid w:val="00C658C1"/>
    <w:rsid w:val="00C65B87"/>
    <w:rsid w:val="00C65C9A"/>
    <w:rsid w:val="00C6751C"/>
    <w:rsid w:val="00C6767E"/>
    <w:rsid w:val="00C67CE9"/>
    <w:rsid w:val="00C7174F"/>
    <w:rsid w:val="00C744F4"/>
    <w:rsid w:val="00C74879"/>
    <w:rsid w:val="00C74F0A"/>
    <w:rsid w:val="00C763CC"/>
    <w:rsid w:val="00C76D96"/>
    <w:rsid w:val="00C77CA0"/>
    <w:rsid w:val="00C801E4"/>
    <w:rsid w:val="00C807AA"/>
    <w:rsid w:val="00C81076"/>
    <w:rsid w:val="00C81671"/>
    <w:rsid w:val="00C82236"/>
    <w:rsid w:val="00C8273F"/>
    <w:rsid w:val="00C830AA"/>
    <w:rsid w:val="00C83356"/>
    <w:rsid w:val="00C848D6"/>
    <w:rsid w:val="00C901E8"/>
    <w:rsid w:val="00C90622"/>
    <w:rsid w:val="00C9185A"/>
    <w:rsid w:val="00C92149"/>
    <w:rsid w:val="00C930F9"/>
    <w:rsid w:val="00C93ACB"/>
    <w:rsid w:val="00C9568A"/>
    <w:rsid w:val="00CA08FC"/>
    <w:rsid w:val="00CA16EE"/>
    <w:rsid w:val="00CA2943"/>
    <w:rsid w:val="00CA2FEC"/>
    <w:rsid w:val="00CA3216"/>
    <w:rsid w:val="00CA3746"/>
    <w:rsid w:val="00CA52C0"/>
    <w:rsid w:val="00CA6872"/>
    <w:rsid w:val="00CA6911"/>
    <w:rsid w:val="00CB04E6"/>
    <w:rsid w:val="00CB1E96"/>
    <w:rsid w:val="00CB3BEF"/>
    <w:rsid w:val="00CB4EAC"/>
    <w:rsid w:val="00CB6018"/>
    <w:rsid w:val="00CB6672"/>
    <w:rsid w:val="00CB6E5D"/>
    <w:rsid w:val="00CB733A"/>
    <w:rsid w:val="00CB7A90"/>
    <w:rsid w:val="00CC12CF"/>
    <w:rsid w:val="00CC3621"/>
    <w:rsid w:val="00CC3864"/>
    <w:rsid w:val="00CC511B"/>
    <w:rsid w:val="00CC52DD"/>
    <w:rsid w:val="00CC5D84"/>
    <w:rsid w:val="00CD0643"/>
    <w:rsid w:val="00CD2193"/>
    <w:rsid w:val="00CD2742"/>
    <w:rsid w:val="00CD3363"/>
    <w:rsid w:val="00CD442E"/>
    <w:rsid w:val="00CD5642"/>
    <w:rsid w:val="00CD6813"/>
    <w:rsid w:val="00CD7608"/>
    <w:rsid w:val="00CD7668"/>
    <w:rsid w:val="00CE08F7"/>
    <w:rsid w:val="00CE0C3D"/>
    <w:rsid w:val="00CE1E3C"/>
    <w:rsid w:val="00CE2C64"/>
    <w:rsid w:val="00CE4A10"/>
    <w:rsid w:val="00CE7B8C"/>
    <w:rsid w:val="00CF0052"/>
    <w:rsid w:val="00CF1532"/>
    <w:rsid w:val="00CF20D8"/>
    <w:rsid w:val="00CF295B"/>
    <w:rsid w:val="00CF2966"/>
    <w:rsid w:val="00CF3A9B"/>
    <w:rsid w:val="00CF6D04"/>
    <w:rsid w:val="00D00609"/>
    <w:rsid w:val="00D010DB"/>
    <w:rsid w:val="00D01313"/>
    <w:rsid w:val="00D02678"/>
    <w:rsid w:val="00D028D4"/>
    <w:rsid w:val="00D02D4D"/>
    <w:rsid w:val="00D0350C"/>
    <w:rsid w:val="00D03811"/>
    <w:rsid w:val="00D05F0C"/>
    <w:rsid w:val="00D0623C"/>
    <w:rsid w:val="00D06B61"/>
    <w:rsid w:val="00D06C53"/>
    <w:rsid w:val="00D07A21"/>
    <w:rsid w:val="00D10F16"/>
    <w:rsid w:val="00D1159A"/>
    <w:rsid w:val="00D11B43"/>
    <w:rsid w:val="00D12B55"/>
    <w:rsid w:val="00D12D62"/>
    <w:rsid w:val="00D13B09"/>
    <w:rsid w:val="00D13E7D"/>
    <w:rsid w:val="00D16279"/>
    <w:rsid w:val="00D16F27"/>
    <w:rsid w:val="00D17159"/>
    <w:rsid w:val="00D179A1"/>
    <w:rsid w:val="00D20046"/>
    <w:rsid w:val="00D20496"/>
    <w:rsid w:val="00D204D3"/>
    <w:rsid w:val="00D20D06"/>
    <w:rsid w:val="00D213FE"/>
    <w:rsid w:val="00D248AF"/>
    <w:rsid w:val="00D24D6C"/>
    <w:rsid w:val="00D25981"/>
    <w:rsid w:val="00D261B4"/>
    <w:rsid w:val="00D26A5B"/>
    <w:rsid w:val="00D31A32"/>
    <w:rsid w:val="00D338FD"/>
    <w:rsid w:val="00D3448B"/>
    <w:rsid w:val="00D34959"/>
    <w:rsid w:val="00D35205"/>
    <w:rsid w:val="00D37597"/>
    <w:rsid w:val="00D3784B"/>
    <w:rsid w:val="00D40293"/>
    <w:rsid w:val="00D41E12"/>
    <w:rsid w:val="00D42CD5"/>
    <w:rsid w:val="00D43ABE"/>
    <w:rsid w:val="00D443B2"/>
    <w:rsid w:val="00D459DD"/>
    <w:rsid w:val="00D45A93"/>
    <w:rsid w:val="00D52EED"/>
    <w:rsid w:val="00D53BA5"/>
    <w:rsid w:val="00D54A5F"/>
    <w:rsid w:val="00D54E80"/>
    <w:rsid w:val="00D5624C"/>
    <w:rsid w:val="00D5677E"/>
    <w:rsid w:val="00D56948"/>
    <w:rsid w:val="00D600C1"/>
    <w:rsid w:val="00D6022F"/>
    <w:rsid w:val="00D60C9B"/>
    <w:rsid w:val="00D614C0"/>
    <w:rsid w:val="00D61BC2"/>
    <w:rsid w:val="00D62443"/>
    <w:rsid w:val="00D63D4D"/>
    <w:rsid w:val="00D6508B"/>
    <w:rsid w:val="00D654DE"/>
    <w:rsid w:val="00D65B46"/>
    <w:rsid w:val="00D70AD8"/>
    <w:rsid w:val="00D70B0A"/>
    <w:rsid w:val="00D70B65"/>
    <w:rsid w:val="00D70B75"/>
    <w:rsid w:val="00D724C3"/>
    <w:rsid w:val="00D729DE"/>
    <w:rsid w:val="00D731A8"/>
    <w:rsid w:val="00D739E0"/>
    <w:rsid w:val="00D76903"/>
    <w:rsid w:val="00D76A50"/>
    <w:rsid w:val="00D80104"/>
    <w:rsid w:val="00D82A43"/>
    <w:rsid w:val="00D83A37"/>
    <w:rsid w:val="00D858A3"/>
    <w:rsid w:val="00D864E3"/>
    <w:rsid w:val="00D86B5F"/>
    <w:rsid w:val="00D90D84"/>
    <w:rsid w:val="00D918F7"/>
    <w:rsid w:val="00D926D2"/>
    <w:rsid w:val="00D92BA8"/>
    <w:rsid w:val="00D937FA"/>
    <w:rsid w:val="00D93EB1"/>
    <w:rsid w:val="00D94892"/>
    <w:rsid w:val="00D959C5"/>
    <w:rsid w:val="00D9635D"/>
    <w:rsid w:val="00D969A0"/>
    <w:rsid w:val="00D96AC4"/>
    <w:rsid w:val="00DA1A3E"/>
    <w:rsid w:val="00DA2339"/>
    <w:rsid w:val="00DA2A30"/>
    <w:rsid w:val="00DA2ED7"/>
    <w:rsid w:val="00DA4782"/>
    <w:rsid w:val="00DA4FCC"/>
    <w:rsid w:val="00DA5457"/>
    <w:rsid w:val="00DA551F"/>
    <w:rsid w:val="00DA5BFC"/>
    <w:rsid w:val="00DA6D24"/>
    <w:rsid w:val="00DA7697"/>
    <w:rsid w:val="00DA782B"/>
    <w:rsid w:val="00DB0E56"/>
    <w:rsid w:val="00DB1160"/>
    <w:rsid w:val="00DB15E2"/>
    <w:rsid w:val="00DB23AF"/>
    <w:rsid w:val="00DB2751"/>
    <w:rsid w:val="00DB4193"/>
    <w:rsid w:val="00DB507B"/>
    <w:rsid w:val="00DB5463"/>
    <w:rsid w:val="00DB6BB5"/>
    <w:rsid w:val="00DC0968"/>
    <w:rsid w:val="00DC188E"/>
    <w:rsid w:val="00DC264E"/>
    <w:rsid w:val="00DC2EA6"/>
    <w:rsid w:val="00DC34A6"/>
    <w:rsid w:val="00DC3535"/>
    <w:rsid w:val="00DC4393"/>
    <w:rsid w:val="00DC507B"/>
    <w:rsid w:val="00DC5BBC"/>
    <w:rsid w:val="00DC6BDA"/>
    <w:rsid w:val="00DC768C"/>
    <w:rsid w:val="00DD0282"/>
    <w:rsid w:val="00DD0CD2"/>
    <w:rsid w:val="00DD0DAC"/>
    <w:rsid w:val="00DD2530"/>
    <w:rsid w:val="00DD2652"/>
    <w:rsid w:val="00DD2CE5"/>
    <w:rsid w:val="00DD2FE7"/>
    <w:rsid w:val="00DD4426"/>
    <w:rsid w:val="00DD4C17"/>
    <w:rsid w:val="00DD56EE"/>
    <w:rsid w:val="00DD58CB"/>
    <w:rsid w:val="00DD5FE1"/>
    <w:rsid w:val="00DD7FF6"/>
    <w:rsid w:val="00DE14C5"/>
    <w:rsid w:val="00DE2466"/>
    <w:rsid w:val="00DE4A8A"/>
    <w:rsid w:val="00DE5D94"/>
    <w:rsid w:val="00DE7780"/>
    <w:rsid w:val="00DF0142"/>
    <w:rsid w:val="00DF0A0C"/>
    <w:rsid w:val="00DF171B"/>
    <w:rsid w:val="00DF179F"/>
    <w:rsid w:val="00DF2348"/>
    <w:rsid w:val="00DF324A"/>
    <w:rsid w:val="00DF3394"/>
    <w:rsid w:val="00DF4985"/>
    <w:rsid w:val="00DF5451"/>
    <w:rsid w:val="00DF6754"/>
    <w:rsid w:val="00DF6789"/>
    <w:rsid w:val="00E01992"/>
    <w:rsid w:val="00E02030"/>
    <w:rsid w:val="00E024D5"/>
    <w:rsid w:val="00E0330B"/>
    <w:rsid w:val="00E03AA2"/>
    <w:rsid w:val="00E03EA0"/>
    <w:rsid w:val="00E051D7"/>
    <w:rsid w:val="00E07986"/>
    <w:rsid w:val="00E11416"/>
    <w:rsid w:val="00E1285E"/>
    <w:rsid w:val="00E13033"/>
    <w:rsid w:val="00E1515E"/>
    <w:rsid w:val="00E151A6"/>
    <w:rsid w:val="00E1545D"/>
    <w:rsid w:val="00E15ACB"/>
    <w:rsid w:val="00E16F7C"/>
    <w:rsid w:val="00E20198"/>
    <w:rsid w:val="00E20200"/>
    <w:rsid w:val="00E20683"/>
    <w:rsid w:val="00E21A01"/>
    <w:rsid w:val="00E21AB1"/>
    <w:rsid w:val="00E22C46"/>
    <w:rsid w:val="00E24581"/>
    <w:rsid w:val="00E24741"/>
    <w:rsid w:val="00E249C5"/>
    <w:rsid w:val="00E26EF1"/>
    <w:rsid w:val="00E27787"/>
    <w:rsid w:val="00E27B14"/>
    <w:rsid w:val="00E30F2F"/>
    <w:rsid w:val="00E32360"/>
    <w:rsid w:val="00E32531"/>
    <w:rsid w:val="00E32DD1"/>
    <w:rsid w:val="00E33705"/>
    <w:rsid w:val="00E33EE8"/>
    <w:rsid w:val="00E344E2"/>
    <w:rsid w:val="00E36A8B"/>
    <w:rsid w:val="00E36F28"/>
    <w:rsid w:val="00E371C7"/>
    <w:rsid w:val="00E375E2"/>
    <w:rsid w:val="00E37725"/>
    <w:rsid w:val="00E379F9"/>
    <w:rsid w:val="00E37C11"/>
    <w:rsid w:val="00E40133"/>
    <w:rsid w:val="00E44870"/>
    <w:rsid w:val="00E449FE"/>
    <w:rsid w:val="00E4517F"/>
    <w:rsid w:val="00E46205"/>
    <w:rsid w:val="00E46354"/>
    <w:rsid w:val="00E466DB"/>
    <w:rsid w:val="00E46B1B"/>
    <w:rsid w:val="00E50964"/>
    <w:rsid w:val="00E52388"/>
    <w:rsid w:val="00E53664"/>
    <w:rsid w:val="00E54AFA"/>
    <w:rsid w:val="00E57975"/>
    <w:rsid w:val="00E60910"/>
    <w:rsid w:val="00E61167"/>
    <w:rsid w:val="00E61633"/>
    <w:rsid w:val="00E61741"/>
    <w:rsid w:val="00E61D4A"/>
    <w:rsid w:val="00E624F8"/>
    <w:rsid w:val="00E6257C"/>
    <w:rsid w:val="00E626BD"/>
    <w:rsid w:val="00E63AD6"/>
    <w:rsid w:val="00E63CB7"/>
    <w:rsid w:val="00E6444F"/>
    <w:rsid w:val="00E66288"/>
    <w:rsid w:val="00E6705E"/>
    <w:rsid w:val="00E67B2D"/>
    <w:rsid w:val="00E70690"/>
    <w:rsid w:val="00E70B6C"/>
    <w:rsid w:val="00E718F6"/>
    <w:rsid w:val="00E72395"/>
    <w:rsid w:val="00E74206"/>
    <w:rsid w:val="00E75181"/>
    <w:rsid w:val="00E75C03"/>
    <w:rsid w:val="00E77203"/>
    <w:rsid w:val="00E80A44"/>
    <w:rsid w:val="00E8406B"/>
    <w:rsid w:val="00E84B6C"/>
    <w:rsid w:val="00E84D7A"/>
    <w:rsid w:val="00E85DFA"/>
    <w:rsid w:val="00E860AC"/>
    <w:rsid w:val="00E86366"/>
    <w:rsid w:val="00E87F47"/>
    <w:rsid w:val="00E914BA"/>
    <w:rsid w:val="00E91543"/>
    <w:rsid w:val="00E916D7"/>
    <w:rsid w:val="00E920DD"/>
    <w:rsid w:val="00E92BDF"/>
    <w:rsid w:val="00E93015"/>
    <w:rsid w:val="00E94A6C"/>
    <w:rsid w:val="00E96EFD"/>
    <w:rsid w:val="00EA08A7"/>
    <w:rsid w:val="00EA3AAD"/>
    <w:rsid w:val="00EA44FF"/>
    <w:rsid w:val="00EA4651"/>
    <w:rsid w:val="00EA565F"/>
    <w:rsid w:val="00EA6452"/>
    <w:rsid w:val="00EA657C"/>
    <w:rsid w:val="00EA6E11"/>
    <w:rsid w:val="00EA7B60"/>
    <w:rsid w:val="00EA7F52"/>
    <w:rsid w:val="00EB2101"/>
    <w:rsid w:val="00EB240E"/>
    <w:rsid w:val="00EB347A"/>
    <w:rsid w:val="00EB34B3"/>
    <w:rsid w:val="00EB3786"/>
    <w:rsid w:val="00EB488F"/>
    <w:rsid w:val="00EB4C18"/>
    <w:rsid w:val="00EB4E60"/>
    <w:rsid w:val="00EB6461"/>
    <w:rsid w:val="00EB7629"/>
    <w:rsid w:val="00EB7EF5"/>
    <w:rsid w:val="00EC0E26"/>
    <w:rsid w:val="00EC17EB"/>
    <w:rsid w:val="00EC482C"/>
    <w:rsid w:val="00EC5D28"/>
    <w:rsid w:val="00EC5F14"/>
    <w:rsid w:val="00EC6023"/>
    <w:rsid w:val="00EC74E3"/>
    <w:rsid w:val="00EC7A7F"/>
    <w:rsid w:val="00ED0ED7"/>
    <w:rsid w:val="00ED216B"/>
    <w:rsid w:val="00ED34A8"/>
    <w:rsid w:val="00ED5C09"/>
    <w:rsid w:val="00ED673D"/>
    <w:rsid w:val="00EE12EC"/>
    <w:rsid w:val="00EE13BA"/>
    <w:rsid w:val="00EE233B"/>
    <w:rsid w:val="00EE4FC7"/>
    <w:rsid w:val="00EE5EB2"/>
    <w:rsid w:val="00EE6179"/>
    <w:rsid w:val="00EE671C"/>
    <w:rsid w:val="00EE6ED5"/>
    <w:rsid w:val="00EE7C4A"/>
    <w:rsid w:val="00EF0460"/>
    <w:rsid w:val="00EF04D3"/>
    <w:rsid w:val="00EF20B4"/>
    <w:rsid w:val="00EF2C4D"/>
    <w:rsid w:val="00EF484A"/>
    <w:rsid w:val="00EF63B6"/>
    <w:rsid w:val="00F00435"/>
    <w:rsid w:val="00F00C1E"/>
    <w:rsid w:val="00F01073"/>
    <w:rsid w:val="00F01638"/>
    <w:rsid w:val="00F039CF"/>
    <w:rsid w:val="00F03DBD"/>
    <w:rsid w:val="00F044C5"/>
    <w:rsid w:val="00F0546E"/>
    <w:rsid w:val="00F05F48"/>
    <w:rsid w:val="00F06973"/>
    <w:rsid w:val="00F10414"/>
    <w:rsid w:val="00F1085E"/>
    <w:rsid w:val="00F10960"/>
    <w:rsid w:val="00F142EC"/>
    <w:rsid w:val="00F1501B"/>
    <w:rsid w:val="00F15198"/>
    <w:rsid w:val="00F16F6C"/>
    <w:rsid w:val="00F20F17"/>
    <w:rsid w:val="00F212C8"/>
    <w:rsid w:val="00F22011"/>
    <w:rsid w:val="00F230C2"/>
    <w:rsid w:val="00F238FD"/>
    <w:rsid w:val="00F2485A"/>
    <w:rsid w:val="00F24F7C"/>
    <w:rsid w:val="00F269AA"/>
    <w:rsid w:val="00F30739"/>
    <w:rsid w:val="00F325FF"/>
    <w:rsid w:val="00F32C2E"/>
    <w:rsid w:val="00F32C47"/>
    <w:rsid w:val="00F347C3"/>
    <w:rsid w:val="00F3578F"/>
    <w:rsid w:val="00F36375"/>
    <w:rsid w:val="00F36940"/>
    <w:rsid w:val="00F3717D"/>
    <w:rsid w:val="00F40218"/>
    <w:rsid w:val="00F4150B"/>
    <w:rsid w:val="00F418AD"/>
    <w:rsid w:val="00F4190F"/>
    <w:rsid w:val="00F41CAC"/>
    <w:rsid w:val="00F432B3"/>
    <w:rsid w:val="00F433A7"/>
    <w:rsid w:val="00F43DA2"/>
    <w:rsid w:val="00F44FC1"/>
    <w:rsid w:val="00F45C41"/>
    <w:rsid w:val="00F50002"/>
    <w:rsid w:val="00F50241"/>
    <w:rsid w:val="00F50911"/>
    <w:rsid w:val="00F50E81"/>
    <w:rsid w:val="00F51709"/>
    <w:rsid w:val="00F523E7"/>
    <w:rsid w:val="00F5258A"/>
    <w:rsid w:val="00F53044"/>
    <w:rsid w:val="00F533B0"/>
    <w:rsid w:val="00F54089"/>
    <w:rsid w:val="00F55D7D"/>
    <w:rsid w:val="00F57E53"/>
    <w:rsid w:val="00F61EAB"/>
    <w:rsid w:val="00F63892"/>
    <w:rsid w:val="00F63C75"/>
    <w:rsid w:val="00F64839"/>
    <w:rsid w:val="00F6523F"/>
    <w:rsid w:val="00F65664"/>
    <w:rsid w:val="00F65AC8"/>
    <w:rsid w:val="00F66449"/>
    <w:rsid w:val="00F666BD"/>
    <w:rsid w:val="00F70513"/>
    <w:rsid w:val="00F70C8E"/>
    <w:rsid w:val="00F71C9C"/>
    <w:rsid w:val="00F72239"/>
    <w:rsid w:val="00F732DC"/>
    <w:rsid w:val="00F740B7"/>
    <w:rsid w:val="00F741BE"/>
    <w:rsid w:val="00F7509D"/>
    <w:rsid w:val="00F80895"/>
    <w:rsid w:val="00F80F5D"/>
    <w:rsid w:val="00F82519"/>
    <w:rsid w:val="00F837C7"/>
    <w:rsid w:val="00F841FA"/>
    <w:rsid w:val="00F8581F"/>
    <w:rsid w:val="00F867C4"/>
    <w:rsid w:val="00F86F3D"/>
    <w:rsid w:val="00F87FE5"/>
    <w:rsid w:val="00F90CF4"/>
    <w:rsid w:val="00F91D98"/>
    <w:rsid w:val="00F91E4C"/>
    <w:rsid w:val="00F94D07"/>
    <w:rsid w:val="00F96C21"/>
    <w:rsid w:val="00F9732A"/>
    <w:rsid w:val="00F97817"/>
    <w:rsid w:val="00F97A4B"/>
    <w:rsid w:val="00F97B69"/>
    <w:rsid w:val="00FA095B"/>
    <w:rsid w:val="00FA2BCC"/>
    <w:rsid w:val="00FA305C"/>
    <w:rsid w:val="00FA37F9"/>
    <w:rsid w:val="00FA38A2"/>
    <w:rsid w:val="00FA7369"/>
    <w:rsid w:val="00FA7489"/>
    <w:rsid w:val="00FB0BB0"/>
    <w:rsid w:val="00FB1195"/>
    <w:rsid w:val="00FB1283"/>
    <w:rsid w:val="00FB2A3D"/>
    <w:rsid w:val="00FB2E5C"/>
    <w:rsid w:val="00FB3433"/>
    <w:rsid w:val="00FB405E"/>
    <w:rsid w:val="00FB5C80"/>
    <w:rsid w:val="00FC003A"/>
    <w:rsid w:val="00FC1079"/>
    <w:rsid w:val="00FC1C75"/>
    <w:rsid w:val="00FC20D4"/>
    <w:rsid w:val="00FC2450"/>
    <w:rsid w:val="00FC2B18"/>
    <w:rsid w:val="00FC46FF"/>
    <w:rsid w:val="00FC48D3"/>
    <w:rsid w:val="00FC4B15"/>
    <w:rsid w:val="00FC5B66"/>
    <w:rsid w:val="00FC6075"/>
    <w:rsid w:val="00FC78A7"/>
    <w:rsid w:val="00FD0C50"/>
    <w:rsid w:val="00FD1D71"/>
    <w:rsid w:val="00FD313F"/>
    <w:rsid w:val="00FD5286"/>
    <w:rsid w:val="00FD5881"/>
    <w:rsid w:val="00FD5D87"/>
    <w:rsid w:val="00FD72AC"/>
    <w:rsid w:val="00FE0015"/>
    <w:rsid w:val="00FE043E"/>
    <w:rsid w:val="00FE065D"/>
    <w:rsid w:val="00FE0EFB"/>
    <w:rsid w:val="00FE310F"/>
    <w:rsid w:val="00FE34E5"/>
    <w:rsid w:val="00FE365D"/>
    <w:rsid w:val="00FE37E1"/>
    <w:rsid w:val="00FE42C4"/>
    <w:rsid w:val="00FF193E"/>
    <w:rsid w:val="00FF2FB9"/>
    <w:rsid w:val="00FF30F8"/>
    <w:rsid w:val="00FF3CFB"/>
    <w:rsid w:val="00FF491B"/>
    <w:rsid w:val="00FF561C"/>
    <w:rsid w:val="02CC4470"/>
    <w:rsid w:val="07B96196"/>
    <w:rsid w:val="0DED2895"/>
    <w:rsid w:val="127A5B76"/>
    <w:rsid w:val="17A15CD6"/>
    <w:rsid w:val="18A34DB6"/>
    <w:rsid w:val="2087660B"/>
    <w:rsid w:val="215D4821"/>
    <w:rsid w:val="21AA64D4"/>
    <w:rsid w:val="25055D31"/>
    <w:rsid w:val="27381A82"/>
    <w:rsid w:val="2D3C6472"/>
    <w:rsid w:val="36E265EE"/>
    <w:rsid w:val="383B57A9"/>
    <w:rsid w:val="3D0036EE"/>
    <w:rsid w:val="3D68763F"/>
    <w:rsid w:val="3E4C5075"/>
    <w:rsid w:val="3F7947B4"/>
    <w:rsid w:val="464360E1"/>
    <w:rsid w:val="4C59597D"/>
    <w:rsid w:val="4FDD33E0"/>
    <w:rsid w:val="51CE3660"/>
    <w:rsid w:val="5331602C"/>
    <w:rsid w:val="55D342BF"/>
    <w:rsid w:val="6799609E"/>
    <w:rsid w:val="74662E38"/>
    <w:rsid w:val="7A721444"/>
    <w:rsid w:val="7B607E8F"/>
    <w:rsid w:val="7E82272C"/>
    <w:rsid w:val="7E944E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440" w:firstLineChars="200"/>
      <w:jc w:val="both"/>
    </w:pPr>
    <w:rPr>
      <w:rFonts w:ascii="Times New Roman" w:hAnsi="Times New Roman" w:eastAsia="宋体" w:cs="Times New Roman"/>
      <w:kern w:val="2"/>
      <w:sz w:val="22"/>
      <w:szCs w:val="24"/>
      <w:lang w:val="en-US" w:eastAsia="zh-CN" w:bidi="ar-SA"/>
    </w:rPr>
  </w:style>
  <w:style w:type="paragraph" w:styleId="2">
    <w:name w:val="heading 1"/>
    <w:basedOn w:val="3"/>
    <w:next w:val="1"/>
    <w:link w:val="29"/>
    <w:qFormat/>
    <w:uiPriority w:val="0"/>
    <w:pPr>
      <w:outlineLvl w:val="0"/>
    </w:p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character" w:default="1" w:styleId="19">
    <w:name w:val="Default Paragraph Font"/>
    <w:semiHidden/>
    <w:unhideWhenUsed/>
    <w:qFormat/>
    <w:uiPriority w:val="1"/>
  </w:style>
  <w:style w:type="table" w:default="1" w:styleId="25">
    <w:name w:val="Normal Table"/>
    <w:semiHidden/>
    <w:unhideWhenUsed/>
    <w:qFormat/>
    <w:uiPriority w:val="99"/>
    <w:tblPr>
      <w:tblLayout w:type="fixed"/>
      <w:tblCellMar>
        <w:top w:w="0" w:type="dxa"/>
        <w:left w:w="108" w:type="dxa"/>
        <w:bottom w:w="0" w:type="dxa"/>
        <w:right w:w="108" w:type="dxa"/>
      </w:tblCellMar>
    </w:tblPr>
  </w:style>
  <w:style w:type="paragraph" w:customStyle="1" w:styleId="3">
    <w:name w:val="学习材料标题样式二"/>
    <w:basedOn w:val="4"/>
    <w:link w:val="30"/>
    <w:qFormat/>
    <w:uiPriority w:val="0"/>
    <w:pPr>
      <w:spacing w:before="0" w:after="156" w:line="240" w:lineRule="auto"/>
      <w:ind w:firstLine="0" w:firstLineChars="0"/>
      <w:jc w:val="center"/>
    </w:pPr>
    <w:rPr>
      <w:rFonts w:ascii="方正小标宋简体" w:hAnsi="Times New Roman" w:eastAsia="方正小标宋简体" w:cs="Tahoma"/>
      <w:spacing w:val="-4"/>
      <w:kern w:val="0"/>
    </w:rPr>
  </w:style>
  <w:style w:type="paragraph" w:styleId="8">
    <w:name w:val="toc 3"/>
    <w:basedOn w:val="1"/>
    <w:next w:val="1"/>
    <w:qFormat/>
    <w:uiPriority w:val="39"/>
    <w:pPr>
      <w:tabs>
        <w:tab w:val="right" w:leader="dot" w:pos="8318"/>
      </w:tabs>
      <w:ind w:left="178" w:leftChars="85"/>
    </w:pPr>
  </w:style>
  <w:style w:type="paragraph" w:styleId="9">
    <w:name w:val="Date"/>
    <w:basedOn w:val="1"/>
    <w:next w:val="1"/>
    <w:qFormat/>
    <w:uiPriority w:val="0"/>
    <w:pPr>
      <w:ind w:left="100" w:leftChars="2500"/>
    </w:pPr>
  </w:style>
  <w:style w:type="paragraph" w:styleId="10">
    <w:name w:val="Balloon Text"/>
    <w:basedOn w:val="1"/>
    <w:semiHidden/>
    <w:qFormat/>
    <w:uiPriority w:val="0"/>
    <w:rPr>
      <w:sz w:val="18"/>
      <w:szCs w:val="18"/>
    </w:rPr>
  </w:style>
  <w:style w:type="paragraph" w:styleId="11">
    <w:name w:val="footer"/>
    <w:basedOn w:val="1"/>
    <w:link w:val="51"/>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right" w:leader="dot" w:pos="8318"/>
      </w:tabs>
    </w:pPr>
    <w:rPr>
      <w:rFonts w:ascii="楷体_GB2312" w:eastAsia="楷体_GB2312"/>
      <w:b/>
      <w:spacing w:val="-20"/>
      <w:sz w:val="30"/>
      <w:szCs w:val="30"/>
    </w:rPr>
  </w:style>
  <w:style w:type="paragraph" w:styleId="14">
    <w:name w:val="Subtitle"/>
    <w:basedOn w:val="1"/>
    <w:next w:val="1"/>
    <w:link w:val="50"/>
    <w:qFormat/>
    <w:uiPriority w:val="0"/>
    <w:pPr>
      <w:spacing w:beforeLines="50" w:afterLines="50"/>
      <w:ind w:firstLine="0" w:firstLineChars="0"/>
      <w:jc w:val="center"/>
    </w:pPr>
    <w:rPr>
      <w:rFonts w:ascii="楷体" w:hAnsi="楷体" w:eastAsia="楷体"/>
      <w:b/>
      <w:sz w:val="28"/>
    </w:rPr>
  </w:style>
  <w:style w:type="paragraph" w:styleId="15">
    <w:name w:val="toc 2"/>
    <w:basedOn w:val="1"/>
    <w:next w:val="1"/>
    <w:qFormat/>
    <w:uiPriority w:val="39"/>
    <w:pPr>
      <w:tabs>
        <w:tab w:val="right" w:leader="dot" w:pos="8296"/>
      </w:tabs>
      <w:ind w:left="420"/>
      <w:jc w:val="center"/>
    </w:pPr>
    <w:rPr>
      <w:b/>
      <w:sz w:val="24"/>
      <w:szCs w:val="32"/>
    </w:r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7">
    <w:name w:val="Title"/>
    <w:basedOn w:val="18"/>
    <w:next w:val="1"/>
    <w:link w:val="47"/>
    <w:qFormat/>
    <w:uiPriority w:val="0"/>
    <w:pPr>
      <w:jc w:val="both"/>
    </w:pPr>
  </w:style>
  <w:style w:type="paragraph" w:customStyle="1" w:styleId="18">
    <w:name w:val="学习材料标题样式一"/>
    <w:basedOn w:val="2"/>
    <w:link w:val="31"/>
    <w:qFormat/>
    <w:uiPriority w:val="0"/>
    <w:pPr>
      <w:spacing w:afterLines="50"/>
    </w:pPr>
    <w:rPr>
      <w:rFonts w:ascii="黑体" w:hAnsi="黑体" w:eastAsia="黑体"/>
      <w:szCs w:val="36"/>
    </w:r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qFormat/>
    <w:uiPriority w:val="0"/>
    <w:rPr>
      <w:vanish/>
      <w:color w:val="005C81"/>
      <w:u w:val="none"/>
    </w:rPr>
  </w:style>
  <w:style w:type="character" w:styleId="23">
    <w:name w:val="Emphasis"/>
    <w:basedOn w:val="19"/>
    <w:qFormat/>
    <w:uiPriority w:val="0"/>
  </w:style>
  <w:style w:type="character" w:styleId="24">
    <w:name w:val="Hyperlink"/>
    <w:basedOn w:val="19"/>
    <w:qFormat/>
    <w:uiPriority w:val="99"/>
    <w:rPr>
      <w:color w:val="auto"/>
      <w:u w:val="none"/>
    </w:rPr>
  </w:style>
  <w:style w:type="paragraph" w:customStyle="1" w:styleId="26">
    <w:name w:val="学习材料标题样式三"/>
    <w:basedOn w:val="5"/>
    <w:link w:val="32"/>
    <w:qFormat/>
    <w:uiPriority w:val="0"/>
    <w:pPr>
      <w:spacing w:before="120" w:after="120" w:line="240" w:lineRule="auto"/>
      <w:jc w:val="center"/>
    </w:pPr>
    <w:rPr>
      <w:rFonts w:ascii="方正小标宋简体" w:eastAsia="方正小标宋简体"/>
      <w:b w:val="0"/>
      <w:sz w:val="30"/>
      <w:szCs w:val="30"/>
    </w:rPr>
  </w:style>
  <w:style w:type="paragraph" w:customStyle="1" w:styleId="27">
    <w:name w:val="样式 经典楷体简 28 磅 加粗 居中 段后: 7.8 磅"/>
    <w:basedOn w:val="1"/>
    <w:qFormat/>
    <w:uiPriority w:val="0"/>
    <w:pPr>
      <w:spacing w:after="156"/>
      <w:jc w:val="center"/>
    </w:pPr>
    <w:rPr>
      <w:rFonts w:ascii="经典楷体简" w:hAnsi="宋体" w:eastAsia="楷体_GB2312" w:cs="宋体"/>
      <w:b/>
      <w:bCs/>
      <w:sz w:val="56"/>
      <w:szCs w:val="20"/>
    </w:rPr>
  </w:style>
  <w:style w:type="paragraph" w:customStyle="1" w:styleId="28">
    <w:name w:val="样式 宋体 三号 加粗 段后: 7.8 磅"/>
    <w:basedOn w:val="1"/>
    <w:qFormat/>
    <w:uiPriority w:val="0"/>
    <w:pPr>
      <w:spacing w:after="156"/>
    </w:pPr>
    <w:rPr>
      <w:rFonts w:ascii="宋体" w:hAnsi="宋体" w:eastAsia="仿宋_GB2312" w:cs="宋体"/>
      <w:b/>
      <w:bCs/>
      <w:sz w:val="32"/>
      <w:szCs w:val="20"/>
    </w:rPr>
  </w:style>
  <w:style w:type="character" w:customStyle="1" w:styleId="29">
    <w:name w:val="标题 1 Char"/>
    <w:basedOn w:val="19"/>
    <w:link w:val="2"/>
    <w:qFormat/>
    <w:uiPriority w:val="0"/>
    <w:rPr>
      <w:rFonts w:ascii="方正小标宋简体" w:eastAsia="方正小标宋简体" w:cs="Tahoma"/>
      <w:b/>
      <w:bCs/>
      <w:spacing w:val="-4"/>
      <w:sz w:val="32"/>
      <w:szCs w:val="32"/>
    </w:rPr>
  </w:style>
  <w:style w:type="character" w:customStyle="1" w:styleId="30">
    <w:name w:val="学习材料标题样式二 Char"/>
    <w:basedOn w:val="19"/>
    <w:link w:val="3"/>
    <w:qFormat/>
    <w:uiPriority w:val="0"/>
    <w:rPr>
      <w:rFonts w:ascii="方正小标宋简体" w:eastAsia="方正小标宋简体" w:cs="Tahoma"/>
      <w:b/>
      <w:bCs/>
      <w:spacing w:val="-4"/>
      <w:sz w:val="32"/>
      <w:szCs w:val="32"/>
    </w:rPr>
  </w:style>
  <w:style w:type="character" w:customStyle="1" w:styleId="31">
    <w:name w:val="学习材料标题样式一 Char"/>
    <w:basedOn w:val="29"/>
    <w:link w:val="18"/>
    <w:qFormat/>
    <w:uiPriority w:val="0"/>
    <w:rPr>
      <w:rFonts w:ascii="黑体" w:hAnsi="黑体" w:eastAsia="黑体"/>
      <w:sz w:val="32"/>
      <w:szCs w:val="36"/>
    </w:rPr>
  </w:style>
  <w:style w:type="character" w:customStyle="1" w:styleId="32">
    <w:name w:val="学习材料标题样式三 Char"/>
    <w:basedOn w:val="19"/>
    <w:link w:val="26"/>
    <w:qFormat/>
    <w:uiPriority w:val="0"/>
    <w:rPr>
      <w:rFonts w:ascii="方正小标宋简体" w:eastAsia="方正小标宋简体"/>
      <w:bCs/>
      <w:kern w:val="2"/>
      <w:sz w:val="30"/>
      <w:szCs w:val="30"/>
      <w:lang w:eastAsia="zh-CN" w:bidi="ar-SA"/>
    </w:rPr>
  </w:style>
  <w:style w:type="paragraph" w:customStyle="1" w:styleId="33">
    <w:name w:val="tc"/>
    <w:basedOn w:val="1"/>
    <w:qFormat/>
    <w:uiPriority w:val="0"/>
    <w:pPr>
      <w:widowControl/>
      <w:spacing w:before="100" w:beforeAutospacing="1" w:after="100" w:afterAutospacing="1"/>
      <w:jc w:val="center"/>
    </w:pPr>
    <w:rPr>
      <w:rFonts w:ascii="宋体" w:hAnsi="宋体" w:cs="宋体"/>
      <w:kern w:val="0"/>
      <w:sz w:val="24"/>
    </w:rPr>
  </w:style>
  <w:style w:type="paragraph" w:customStyle="1" w:styleId="34">
    <w:name w:val="style3"/>
    <w:basedOn w:val="1"/>
    <w:qFormat/>
    <w:uiPriority w:val="0"/>
    <w:pPr>
      <w:widowControl/>
      <w:spacing w:before="100" w:beforeAutospacing="1" w:after="100" w:afterAutospacing="1"/>
      <w:jc w:val="left"/>
    </w:pPr>
    <w:rPr>
      <w:rFonts w:ascii="新宋体" w:hAnsi="新宋体" w:eastAsia="新宋体" w:cs="宋体"/>
      <w:color w:val="000000"/>
      <w:kern w:val="0"/>
      <w:sz w:val="19"/>
      <w:szCs w:val="19"/>
    </w:rPr>
  </w:style>
  <w:style w:type="character" w:customStyle="1" w:styleId="35">
    <w:name w:val="lemmatitleh11"/>
    <w:basedOn w:val="19"/>
    <w:qFormat/>
    <w:uiPriority w:val="0"/>
  </w:style>
  <w:style w:type="paragraph" w:customStyle="1" w:styleId="36">
    <w:name w:val="custom_unionstyle"/>
    <w:basedOn w:val="1"/>
    <w:qFormat/>
    <w:uiPriority w:val="0"/>
    <w:pPr>
      <w:widowControl/>
      <w:spacing w:before="100" w:beforeAutospacing="1" w:after="100" w:afterAutospacing="1"/>
      <w:jc w:val="left"/>
    </w:pPr>
    <w:rPr>
      <w:rFonts w:ascii="宋体" w:hAnsi="宋体" w:cs="宋体"/>
      <w:kern w:val="0"/>
      <w:sz w:val="24"/>
    </w:rPr>
  </w:style>
  <w:style w:type="character" w:customStyle="1" w:styleId="37">
    <w:name w:val="apple-converted-space"/>
    <w:basedOn w:val="19"/>
    <w:qFormat/>
    <w:uiPriority w:val="0"/>
  </w:style>
  <w:style w:type="paragraph" w:customStyle="1" w:styleId="38">
    <w:name w:val="Char"/>
    <w:basedOn w:val="1"/>
    <w:qFormat/>
    <w:uiPriority w:val="0"/>
    <w:pPr>
      <w:spacing w:after="160" w:line="360" w:lineRule="auto"/>
    </w:pPr>
    <w:rPr>
      <w:szCs w:val="20"/>
    </w:rPr>
  </w:style>
  <w:style w:type="character" w:customStyle="1" w:styleId="39">
    <w:name w:val="date"/>
    <w:basedOn w:val="19"/>
    <w:qFormat/>
    <w:uiPriority w:val="0"/>
  </w:style>
  <w:style w:type="paragraph" w:customStyle="1" w:styleId="40">
    <w:name w:val="b-free-read-leaf"/>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subtitle text-cent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2">
    <w:name w:val="author text-cent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3">
    <w:name w:val="introtitle text-cent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4">
    <w:name w:val="sec"/>
    <w:basedOn w:val="1"/>
    <w:qFormat/>
    <w:uiPriority w:val="0"/>
    <w:pPr>
      <w:widowControl/>
      <w:spacing w:before="100" w:beforeAutospacing="1" w:after="100" w:afterAutospacing="1"/>
      <w:jc w:val="left"/>
    </w:pPr>
    <w:rPr>
      <w:rFonts w:ascii="宋体" w:hAnsi="宋体" w:cs="宋体"/>
      <w:kern w:val="0"/>
      <w:sz w:val="24"/>
    </w:rPr>
  </w:style>
  <w:style w:type="paragraph" w:customStyle="1" w:styleId="45">
    <w:name w:val="copy-cont"/>
    <w:basedOn w:val="1"/>
    <w:qFormat/>
    <w:uiPriority w:val="0"/>
    <w:pPr>
      <w:widowControl/>
      <w:spacing w:before="100" w:beforeAutospacing="1" w:after="100" w:afterAutospacing="1"/>
      <w:jc w:val="left"/>
    </w:pPr>
    <w:rPr>
      <w:rFonts w:ascii="宋体" w:hAnsi="宋体" w:cs="宋体"/>
      <w:kern w:val="0"/>
      <w:sz w:val="24"/>
    </w:rPr>
  </w:style>
  <w:style w:type="character" w:customStyle="1" w:styleId="46">
    <w:name w:val="不明显参考1"/>
    <w:basedOn w:val="19"/>
    <w:qFormat/>
    <w:uiPriority w:val="31"/>
    <w:rPr>
      <w:smallCaps/>
      <w:color w:val="C0504D"/>
      <w:u w:val="single"/>
    </w:rPr>
  </w:style>
  <w:style w:type="character" w:customStyle="1" w:styleId="47">
    <w:name w:val="标题 Char"/>
    <w:basedOn w:val="19"/>
    <w:link w:val="17"/>
    <w:qFormat/>
    <w:uiPriority w:val="0"/>
    <w:rPr>
      <w:rFonts w:ascii="黑体" w:hAnsi="黑体" w:eastAsia="黑体" w:cs="Tahoma"/>
      <w:b/>
      <w:bCs/>
      <w:spacing w:val="-4"/>
      <w:sz w:val="32"/>
      <w:szCs w:val="36"/>
    </w:rPr>
  </w:style>
  <w:style w:type="paragraph" w:customStyle="1" w:styleId="48">
    <w:name w:val="中标题"/>
    <w:basedOn w:val="3"/>
    <w:link w:val="49"/>
    <w:qFormat/>
    <w:uiPriority w:val="0"/>
  </w:style>
  <w:style w:type="character" w:customStyle="1" w:styleId="49">
    <w:name w:val="中标题 Char"/>
    <w:basedOn w:val="29"/>
    <w:link w:val="48"/>
    <w:qFormat/>
    <w:uiPriority w:val="0"/>
  </w:style>
  <w:style w:type="character" w:customStyle="1" w:styleId="50">
    <w:name w:val="副标题 Char"/>
    <w:basedOn w:val="19"/>
    <w:link w:val="14"/>
    <w:qFormat/>
    <w:uiPriority w:val="0"/>
    <w:rPr>
      <w:rFonts w:ascii="楷体" w:hAnsi="楷体" w:eastAsia="楷体"/>
      <w:b/>
      <w:kern w:val="2"/>
      <w:sz w:val="28"/>
      <w:szCs w:val="24"/>
    </w:rPr>
  </w:style>
  <w:style w:type="character" w:customStyle="1" w:styleId="51">
    <w:name w:val="页脚 Char"/>
    <w:basedOn w:val="19"/>
    <w:link w:val="11"/>
    <w:qFormat/>
    <w:uiPriority w:val="99"/>
    <w:rPr>
      <w:kern w:val="2"/>
      <w:sz w:val="18"/>
      <w:szCs w:val="18"/>
    </w:rPr>
  </w:style>
  <w:style w:type="paragraph" w:customStyle="1" w:styleId="52">
    <w:name w:val="副标题楷体"/>
    <w:basedOn w:val="14"/>
    <w:link w:val="53"/>
    <w:qFormat/>
    <w:uiPriority w:val="0"/>
    <w:pPr>
      <w:spacing w:before="156" w:after="156"/>
    </w:pPr>
    <w:rPr>
      <w:b w:val="0"/>
      <w:sz w:val="24"/>
    </w:rPr>
  </w:style>
  <w:style w:type="character" w:customStyle="1" w:styleId="53">
    <w:name w:val="副标题楷体 Char"/>
    <w:basedOn w:val="50"/>
    <w:link w:val="52"/>
    <w:qFormat/>
    <w:uiPriority w:val="0"/>
    <w:rPr>
      <w:sz w:val="24"/>
    </w:rPr>
  </w:style>
  <w:style w:type="paragraph" w:customStyle="1" w:styleId="54">
    <w:name w:val="subtitle"/>
    <w:basedOn w:val="1"/>
    <w:qFormat/>
    <w:uiPriority w:val="0"/>
    <w:pPr>
      <w:widowControl/>
      <w:spacing w:before="100" w:beforeAutospacing="1" w:after="100" w:afterAutospacing="1"/>
      <w:ind w:firstLine="0" w:firstLineChars="0"/>
      <w:jc w:val="left"/>
    </w:pPr>
    <w:rPr>
      <w:rFonts w:ascii="宋体" w:hAnsi="宋体" w:cs="宋体"/>
      <w:kern w:val="0"/>
      <w:sz w:val="24"/>
    </w:rPr>
  </w:style>
  <w:style w:type="character" w:customStyle="1" w:styleId="55">
    <w:name w:val="明显强调1"/>
    <w:basedOn w:val="19"/>
    <w:qFormat/>
    <w:uiPriority w:val="21"/>
    <w:rPr>
      <w:b/>
      <w:bCs/>
      <w:i/>
      <w:iCs/>
      <w:color w:val="4F81BD" w:themeColor="accent1"/>
      <w14:textFill>
        <w14:solidFill>
          <w14:schemeClr w14:val="accent1"/>
        </w14:solidFill>
      </w14:textFill>
    </w:rPr>
  </w:style>
  <w:style w:type="character" w:customStyle="1" w:styleId="56">
    <w:name w:val="bjh-p"/>
    <w:basedOn w:val="19"/>
    <w:qFormat/>
    <w:uiPriority w:val="0"/>
  </w:style>
  <w:style w:type="character" w:customStyle="1" w:styleId="57">
    <w:name w:val="ariaskiptheme"/>
    <w:basedOn w:val="19"/>
    <w:qFormat/>
    <w:uiPriority w:val="0"/>
  </w:style>
  <w:style w:type="character" w:customStyle="1" w:styleId="58">
    <w:name w:val="不明显参考2"/>
    <w:basedOn w:val="19"/>
    <w:qFormat/>
    <w:uiPriority w:val="31"/>
    <w:rPr>
      <w:smallCaps/>
      <w:color w:val="C0504D" w:themeColor="accent2"/>
      <w:u w:val="single"/>
      <w14:textFill>
        <w14:solidFill>
          <w14:schemeClr w14:val="accent2"/>
        </w14:solidFill>
      </w14:textFill>
    </w:rPr>
  </w:style>
  <w:style w:type="paragraph" w:customStyle="1" w:styleId="5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spacing w:val="0"/>
      <w:sz w:val="28"/>
      <w:szCs w:val="28"/>
    </w:rPr>
  </w:style>
  <w:style w:type="paragraph" w:customStyle="1" w:styleId="60">
    <w:name w:val="introtitle"/>
    <w:basedOn w:val="1"/>
    <w:qFormat/>
    <w:uiPriority w:val="0"/>
    <w:pPr>
      <w:widowControl/>
      <w:spacing w:before="100" w:beforeAutospacing="1" w:after="100" w:afterAutospacing="1"/>
      <w:ind w:firstLine="0" w:firstLineChars="0"/>
      <w:jc w:val="left"/>
    </w:pPr>
    <w:rPr>
      <w:rFonts w:ascii="宋体" w:hAnsi="宋体" w:cs="宋体"/>
      <w:kern w:val="0"/>
      <w:sz w:val="24"/>
    </w:rPr>
  </w:style>
  <w:style w:type="paragraph" w:customStyle="1" w:styleId="61">
    <w:name w:val="author"/>
    <w:basedOn w:val="1"/>
    <w:qFormat/>
    <w:uiPriority w:val="0"/>
    <w:pPr>
      <w:widowControl/>
      <w:spacing w:before="100" w:beforeAutospacing="1" w:after="100" w:afterAutospacing="1"/>
      <w:ind w:firstLine="0" w:firstLineChars="0"/>
      <w:jc w:val="left"/>
    </w:pPr>
    <w:rPr>
      <w:rFonts w:ascii="宋体" w:hAnsi="宋体" w:cs="宋体"/>
      <w:kern w:val="0"/>
      <w:sz w:val="24"/>
    </w:rPr>
  </w:style>
  <w:style w:type="character" w:customStyle="1" w:styleId="62">
    <w:name w:val="newstime"/>
    <w:basedOn w:val="19"/>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BC7D4A-5C30-4EBC-9323-1D6E5C9A04C3}">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34</Pages>
  <Words>6405</Words>
  <Characters>36509</Characters>
  <Lines>304</Lines>
  <Paragraphs>85</Paragraphs>
  <TotalTime>0</TotalTime>
  <ScaleCrop>false</ScaleCrop>
  <LinksUpToDate>false</LinksUpToDate>
  <CharactersWithSpaces>42829</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2025-08-01T01:05:00Z</dcterms:created>
  <dc:creator>lenovo</dc:creator>
  <cp:lastModifiedBy>Administrator</cp:lastModifiedBy>
  <cp:lastPrinted>2025-11-04T03:25:00Z</cp:lastPrinted>
  <dcterms:modified xsi:type="dcterms:W3CDTF">2026-01-14T08:01:28Z</dcterms:modified>
  <dc:title>泉州市机关党员教育</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FFBCECFD163D43B5BF30DBA27D8013A0_12</vt:lpwstr>
  </property>
</Properties>
</file>