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spacing w:after="0"/>
        <w:ind w:firstLine="0" w:firstLineChars="0"/>
        <w:rPr>
          <w:rFonts w:ascii="宋体" w:eastAsia="宋体"/>
          <w:color w:val="FF0000"/>
        </w:rPr>
      </w:pPr>
      <w:bookmarkStart w:id="0" w:name="_Toc190748406"/>
      <w:bookmarkStart w:id="1" w:name="_Toc190832169"/>
      <w:bookmarkStart w:id="2" w:name="_Toc190748609"/>
      <w:bookmarkStart w:id="3" w:name="_Toc190826338"/>
      <w:bookmarkStart w:id="4" w:name="_Toc192928321"/>
      <w:bookmarkStart w:id="5" w:name="_Toc192911292"/>
      <w:bookmarkStart w:id="6" w:name="_Toc194985091"/>
      <w:bookmarkStart w:id="7" w:name="_Toc190832283"/>
      <w:bookmarkStart w:id="8" w:name="_Toc192911396"/>
      <w:bookmarkStart w:id="9" w:name="_Toc190749700"/>
      <w:bookmarkStart w:id="10" w:name="_Toc190831869"/>
      <w:bookmarkStart w:id="11" w:name="_Toc230430866"/>
      <w:bookmarkStart w:id="12" w:name="_Toc190748407"/>
      <w:bookmarkStart w:id="13" w:name="_Toc230409460"/>
      <w:r>
        <w:rPr>
          <w:rFonts w:hint="eastAsia" w:ascii="宋体" w:eastAsia="宋体"/>
          <w:color w:val="FF0000"/>
        </w:rPr>
        <w:t>泉州市机关党员教育</w:t>
      </w:r>
    </w:p>
    <w:p>
      <w:pPr>
        <w:ind w:firstLine="0" w:firstLineChars="0"/>
        <w:jc w:val="center"/>
        <w:rPr>
          <w:rStyle w:val="29"/>
        </w:rPr>
      </w:pPr>
      <w:r>
        <w:rPr>
          <w:rFonts w:hint="eastAsia" w:ascii="华文新魏" w:eastAsia="华文新魏"/>
          <w:b/>
          <w:color w:val="FF0000"/>
          <w:w w:val="90"/>
          <w:sz w:val="144"/>
          <w:szCs w:val="144"/>
        </w:rPr>
        <w:t>学 习 材 料</w:t>
      </w:r>
    </w:p>
    <w:p>
      <w:pPr>
        <w:spacing w:afterLines="50"/>
        <w:ind w:right="108" w:firstLine="640"/>
        <w:jc w:val="center"/>
        <w:rPr>
          <w:rFonts w:ascii="楷体_GB2312" w:eastAsia="楷体_GB2312"/>
          <w:sz w:val="32"/>
          <w:szCs w:val="32"/>
        </w:rPr>
      </w:pPr>
      <w:r>
        <w:rPr>
          <w:rFonts w:hint="eastAsia" w:ascii="楷体_GB2312" w:eastAsia="楷体_GB2312"/>
          <w:sz w:val="32"/>
          <w:szCs w:val="32"/>
        </w:rPr>
        <w:t>202</w:t>
      </w:r>
      <w:r>
        <w:rPr>
          <w:rFonts w:hint="eastAsia" w:ascii="楷体_GB2312" w:eastAsia="楷体_GB2312"/>
          <w:sz w:val="32"/>
          <w:szCs w:val="32"/>
          <w:lang w:val="en-US" w:eastAsia="zh-CN"/>
        </w:rPr>
        <w:t>6</w:t>
      </w:r>
      <w:r>
        <w:rPr>
          <w:rFonts w:hint="eastAsia" w:ascii="楷体_GB2312" w:eastAsia="楷体_GB2312"/>
          <w:sz w:val="32"/>
          <w:szCs w:val="32"/>
        </w:rPr>
        <w:t>年第</w:t>
      </w:r>
      <w:r>
        <w:rPr>
          <w:rFonts w:hint="eastAsia" w:ascii="楷体_GB2312" w:eastAsia="楷体_GB2312"/>
          <w:sz w:val="32"/>
          <w:szCs w:val="32"/>
          <w:lang w:val="en-US" w:eastAsia="zh-CN"/>
        </w:rPr>
        <w:t>3</w:t>
      </w:r>
      <w:r>
        <w:rPr>
          <w:rFonts w:hint="eastAsia" w:ascii="楷体_GB2312" w:eastAsia="楷体_GB2312"/>
          <w:sz w:val="32"/>
          <w:szCs w:val="32"/>
        </w:rPr>
        <w:t>期（总21</w:t>
      </w:r>
      <w:r>
        <w:rPr>
          <w:rFonts w:hint="eastAsia" w:ascii="楷体_GB2312" w:eastAsia="楷体_GB2312"/>
          <w:sz w:val="32"/>
          <w:szCs w:val="32"/>
          <w:lang w:val="en-US" w:eastAsia="zh-CN"/>
        </w:rPr>
        <w:t>9</w:t>
      </w:r>
      <w:r>
        <w:rPr>
          <w:rFonts w:hint="eastAsia" w:ascii="楷体_GB2312" w:eastAsia="楷体_GB2312"/>
          <w:sz w:val="32"/>
          <w:szCs w:val="32"/>
        </w:rPr>
        <w:t>期）</w:t>
      </w:r>
    </w:p>
    <w:p>
      <w:pPr>
        <w:pStyle w:val="28"/>
        <w:spacing w:after="100" w:afterAutospacing="1"/>
        <w:ind w:firstLine="0" w:firstLineChars="0"/>
        <w:rPr>
          <w:b w:val="0"/>
        </w:rPr>
      </w:pPr>
      <w: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383540</wp:posOffset>
                </wp:positionV>
                <wp:extent cx="5479415" cy="135255"/>
                <wp:effectExtent l="4445" t="4445" r="21590" b="12700"/>
                <wp:wrapNone/>
                <wp:docPr id="1" name="矩形 16"/>
                <wp:cNvGraphicFramePr/>
                <a:graphic xmlns:a="http://schemas.openxmlformats.org/drawingml/2006/main">
                  <a:graphicData uri="http://schemas.microsoft.com/office/word/2010/wordprocessingShape">
                    <wps:wsp>
                      <wps:cNvSpPr/>
                      <wps:spPr>
                        <a:xfrm>
                          <a:off x="0" y="0"/>
                          <a:ext cx="5479415" cy="135255"/>
                        </a:xfrm>
                        <a:prstGeom prst="rect">
                          <a:avLst/>
                        </a:prstGeom>
                        <a:solidFill>
                          <a:srgbClr val="FF0000"/>
                        </a:solidFill>
                        <a:ln w="9525" cap="flat" cmpd="sng">
                          <a:solidFill>
                            <a:srgbClr val="FF0000"/>
                          </a:solidFill>
                          <a:prstDash val="solid"/>
                          <a:miter/>
                          <a:headEnd type="none" w="med" len="med"/>
                          <a:tailEnd type="none" w="med" len="med"/>
                        </a:ln>
                        <a:effectLst/>
                      </wps:spPr>
                      <wps:bodyPr upright="1"/>
                    </wps:wsp>
                  </a:graphicData>
                </a:graphic>
              </wp:anchor>
            </w:drawing>
          </mc:Choice>
          <mc:Fallback>
            <w:pict>
              <v:rect id="矩形 16" o:spid="_x0000_s1026" o:spt="1" style="position:absolute;left:0pt;margin-left:-9pt;margin-top:30.2pt;height:10.65pt;width:431.45pt;z-index:251659264;mso-width-relative:page;mso-height-relative:page;" fillcolor="#FF0000" filled="t" stroked="t" coordsize="21600,21600" o:gfxdata="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3OFx0tsA&#10;AAAJAQAADwAAAAAAAAABACAAAAAiAAAAZHJzL2Rvd25yZXYueG1sUEsBAhQAFAAAAAgAh07iQP+E&#10;C6jjAQAA3wMAAA4AAAAAAAAAAQAgAAAAKgEAAGRycy9lMm9Eb2MueG1sUEsFBgAAAAAGAAYAWQEA&#10;AH8FAAAAAA==&#10;">
                <v:fill on="t" focussize="0,0"/>
                <v:stroke color="#FF0000" joinstyle="miter"/>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416560</wp:posOffset>
                </wp:positionV>
                <wp:extent cx="5486400" cy="102235"/>
                <wp:effectExtent l="4445" t="4445" r="14605" b="7620"/>
                <wp:wrapNone/>
                <wp:docPr id="2" name="矩形 17"/>
                <wp:cNvGraphicFramePr/>
                <a:graphic xmlns:a="http://schemas.openxmlformats.org/drawingml/2006/main">
                  <a:graphicData uri="http://schemas.microsoft.com/office/word/2010/wordprocessingShape">
                    <wps:wsp>
                      <wps:cNvSpPr/>
                      <wps:spPr>
                        <a:xfrm>
                          <a:off x="0" y="0"/>
                          <a:ext cx="5486400" cy="102235"/>
                        </a:xfrm>
                        <a:prstGeom prst="rect">
                          <a:avLst/>
                        </a:prstGeom>
                        <a:solidFill>
                          <a:srgbClr val="FFFFFF"/>
                        </a:solidFill>
                        <a:ln w="9525" cap="flat" cmpd="sng">
                          <a:solidFill>
                            <a:srgbClr val="FFFFFF"/>
                          </a:solidFill>
                          <a:prstDash val="solid"/>
                          <a:miter/>
                          <a:headEnd type="none" w="med" len="med"/>
                          <a:tailEnd type="none" w="med" len="med"/>
                        </a:ln>
                        <a:effectLst/>
                      </wps:spPr>
                      <wps:bodyPr upright="1"/>
                    </wps:wsp>
                  </a:graphicData>
                </a:graphic>
              </wp:anchor>
            </w:drawing>
          </mc:Choice>
          <mc:Fallback>
            <w:pict>
              <v:rect id="矩形 17" o:spid="_x0000_s1026" o:spt="1" style="position:absolute;left:0pt;margin-left:-9pt;margin-top:32.8pt;height:8.05pt;width:432pt;z-index:251660288;mso-width-relative:page;mso-height-relative:page;" fillcolor="#FFFFFF" filled="t" stroked="t" coordsize="21600,21600" o:gfxdata="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yaAxbXAAAACQEA&#10;AA8AAAAAAAAAAQAgAAAAIgAAAGRycy9kb3ducmV2LnhtbFBLAQIUABQAAAAIAIdO4kBp7MSK4gEA&#10;AN8DAAAOAAAAAAAAAAEAIAAAACYBAABkcnMvZTJvRG9jLnhtbFBLBQYAAAAABgAGAFkBAAB6BQAA&#10;AAA=&#10;">
                <v:fill on="t" focussize="0,0"/>
                <v:stroke color="#FFFFFF" joinstyle="miter"/>
                <v:imagedata o:title=""/>
                <o:lock v:ext="edit" aspectratio="f"/>
              </v:rect>
            </w:pict>
          </mc:Fallback>
        </mc:AlternateContent>
      </w:r>
      <w:r>
        <w:rPr>
          <w:rFonts w:hint="eastAsia"/>
        </w:rPr>
        <w:t>中共泉州市委市直机关工作委员会           202</w:t>
      </w:r>
      <w:r>
        <w:rPr>
          <w:rFonts w:hint="eastAsia"/>
          <w:lang w:val="en-US" w:eastAsia="zh-CN"/>
        </w:rPr>
        <w:t>6</w:t>
      </w:r>
      <w:r>
        <w:rPr>
          <w:rFonts w:hint="eastAsia"/>
        </w:rPr>
        <w:t>年</w:t>
      </w:r>
      <w:r>
        <w:rPr>
          <w:rFonts w:hint="eastAsia"/>
          <w:lang w:val="en-US" w:eastAsia="zh-CN"/>
        </w:rPr>
        <w:t>3</w:t>
      </w:r>
      <w:r>
        <w:rPr>
          <w:rFonts w:hint="eastAsia"/>
        </w:rPr>
        <w:t>月</w:t>
      </w:r>
    </w:p>
    <w:p>
      <w:pPr>
        <w:pStyle w:val="13"/>
        <w:ind w:firstLine="0" w:firstLineChars="0"/>
        <w:jc w:val="center"/>
      </w:pPr>
      <w:r>
        <w:rPr>
          <w:rFonts w:hint="eastAsia"/>
        </w:rPr>
        <w:t>目  录</w:t>
      </w:r>
      <w:bookmarkEnd w:id="0"/>
    </w:p>
    <w:p>
      <w:pPr>
        <w:pStyle w:val="15"/>
        <w:ind w:left="565" w:leftChars="257" w:firstLine="0" w:firstLineChars="0"/>
        <w:jc w:val="left"/>
        <w:rPr>
          <w:rStyle w:val="24"/>
          <w:rFonts w:hint="eastAsia"/>
          <w:lang w:val="en-US" w:eastAsia="zh-CN"/>
        </w:rPr>
      </w:pPr>
      <w:r>
        <w:rPr>
          <w:rStyle w:val="24"/>
          <w:rFonts w:hint="eastAsia"/>
          <w:lang w:val="en-US" w:eastAsia="zh-CN"/>
        </w:rPr>
        <w:t>全国政协十四届四次会议在京开幕</w:t>
      </w:r>
    </w:p>
    <w:p>
      <w:pPr>
        <w:pStyle w:val="15"/>
        <w:ind w:left="565" w:leftChars="257" w:firstLine="0" w:firstLineChars="0"/>
        <w:jc w:val="left"/>
        <w:rPr>
          <w:rStyle w:val="24"/>
          <w:rFonts w:hint="eastAsia"/>
          <w:lang w:val="en-US" w:eastAsia="zh-CN"/>
        </w:rPr>
      </w:pPr>
      <w:r>
        <w:rPr>
          <w:rStyle w:val="24"/>
          <w:rFonts w:hint="eastAsia"/>
          <w:lang w:val="en-US" w:eastAsia="zh-CN"/>
        </w:rPr>
        <w:t>十四届全国人大四次会议在京开幕</w:t>
      </w:r>
    </w:p>
    <w:p>
      <w:pPr>
        <w:pStyle w:val="15"/>
        <w:ind w:left="565" w:leftChars="257" w:firstLine="0" w:firstLineChars="0"/>
        <w:jc w:val="left"/>
        <w:rPr>
          <w:rStyle w:val="24"/>
          <w:rFonts w:hint="eastAsia"/>
          <w:sz w:val="24"/>
          <w:szCs w:val="28"/>
          <w:lang w:val="en-US" w:eastAsia="zh-CN"/>
        </w:rPr>
      </w:pPr>
      <w:r>
        <w:rPr>
          <w:rStyle w:val="24"/>
          <w:rFonts w:hint="eastAsia"/>
          <w:sz w:val="24"/>
          <w:szCs w:val="28"/>
          <w:lang w:val="en-US" w:eastAsia="zh-CN"/>
        </w:rPr>
        <w:t>中华人民共和国国民经济和社会发展第十五个五年规划纲要</w:t>
      </w:r>
    </w:p>
    <w:p>
      <w:pPr>
        <w:pStyle w:val="15"/>
        <w:ind w:left="565" w:leftChars="257" w:firstLine="0" w:firstLineChars="0"/>
        <w:jc w:val="left"/>
        <w:rPr>
          <w:rStyle w:val="24"/>
          <w:rFonts w:hint="eastAsia"/>
          <w:sz w:val="24"/>
          <w:szCs w:val="28"/>
          <w:lang w:val="en-US" w:eastAsia="zh-CN"/>
        </w:rPr>
      </w:pPr>
      <w:r>
        <w:rPr>
          <w:rStyle w:val="24"/>
          <w:rFonts w:hint="eastAsia"/>
          <w:sz w:val="24"/>
          <w:szCs w:val="28"/>
          <w:lang w:val="en-US" w:eastAsia="zh-CN"/>
        </w:rPr>
        <w:t>政府工作报告</w:t>
      </w:r>
    </w:p>
    <w:p>
      <w:pPr>
        <w:pStyle w:val="15"/>
        <w:ind w:left="565" w:leftChars="257" w:firstLine="0" w:firstLineChars="0"/>
        <w:jc w:val="left"/>
        <w:rPr>
          <w:rStyle w:val="24"/>
          <w:rFonts w:hint="eastAsia"/>
          <w:lang w:val="en-US" w:eastAsia="zh-CN"/>
        </w:rPr>
      </w:pPr>
      <w:r>
        <w:rPr>
          <w:rStyle w:val="24"/>
          <w:rFonts w:hint="eastAsia"/>
          <w:lang w:val="en-US" w:eastAsia="zh-CN"/>
        </w:rPr>
        <w:t>为人民出政绩，以实干出政绩——写在全党开展树立和践行正确政绩观学习教育之际</w:t>
      </w:r>
    </w:p>
    <w:p>
      <w:pPr>
        <w:pStyle w:val="15"/>
        <w:ind w:left="565" w:leftChars="257" w:firstLine="0" w:firstLineChars="0"/>
        <w:jc w:val="left"/>
        <w:rPr>
          <w:rStyle w:val="24"/>
          <w:rFonts w:hint="eastAsia"/>
          <w:lang w:val="en-US" w:eastAsia="zh-CN"/>
        </w:rPr>
      </w:pPr>
      <w:r>
        <w:rPr>
          <w:rStyle w:val="24"/>
          <w:rFonts w:hint="eastAsia"/>
          <w:lang w:val="en-US" w:eastAsia="zh-CN"/>
        </w:rPr>
        <w:t>省委常委会会议暨省委党的建设工作领导小组会议召开</w:t>
      </w:r>
    </w:p>
    <w:p>
      <w:pPr>
        <w:pStyle w:val="15"/>
        <w:ind w:left="565" w:leftChars="257" w:firstLine="0" w:firstLineChars="0"/>
        <w:jc w:val="left"/>
        <w:rPr>
          <w:rFonts w:hint="eastAsia"/>
          <w:lang w:val="en-US" w:eastAsia="zh-CN"/>
        </w:rPr>
        <w:sectPr>
          <w:headerReference r:id="rId3" w:type="default"/>
          <w:footerReference r:id="rId4" w:type="default"/>
          <w:pgSz w:w="11907" w:h="16840"/>
          <w:pgMar w:top="1440" w:right="1644" w:bottom="1440" w:left="1701" w:header="851" w:footer="992" w:gutter="0"/>
          <w:cols w:space="425" w:num="1"/>
          <w:docGrid w:type="lines" w:linePitch="312" w:charSpace="0"/>
        </w:sectPr>
      </w:pPr>
      <w:bookmarkStart w:id="14" w:name="_GoBack"/>
      <w:bookmarkEnd w:id="14"/>
    </w:p>
    <w:bookmarkEnd w:id="1"/>
    <w:bookmarkEnd w:id="2"/>
    <w:bookmarkEnd w:id="3"/>
    <w:bookmarkEnd w:id="4"/>
    <w:bookmarkEnd w:id="5"/>
    <w:bookmarkEnd w:id="6"/>
    <w:bookmarkEnd w:id="7"/>
    <w:bookmarkEnd w:id="8"/>
    <w:bookmarkEnd w:id="9"/>
    <w:bookmarkEnd w:id="10"/>
    <w:bookmarkEnd w:id="11"/>
    <w:bookmarkEnd w:id="12"/>
    <w:bookmarkEnd w:id="13"/>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全国政协十四届四次会议在京开幕</w:t>
      </w:r>
    </w:p>
    <w:p>
      <w:pPr>
        <w:rPr>
          <w:rFonts w:hint="eastAsia" w:ascii="微软雅黑" w:hAnsi="微软雅黑" w:eastAsia="微软雅黑" w:cs="微软雅黑"/>
          <w:b/>
          <w:i w:val="0"/>
          <w:caps w:val="0"/>
          <w:spacing w:val="8"/>
          <w:sz w:val="33"/>
          <w:szCs w:val="33"/>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同心同德共绘宏伟蓝图，实干奋斗共创时代伟业。中国人民政治协商会议第十四届全国委员会第四次会议4日下午在人民大会堂开幕。2000多名全国政协委员将围绕中共中央决策部署，聚焦“十五五”规划纲要制定和实施，深入协商议政、积极建言献策，为“十五五”开好局、起好步广泛凝心聚力，为以中国式现代化全面推进强国建设、民族复兴伟业贡献智慧和力量。</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三月的北京，春启华章。人民大会堂大礼堂灯光璀璨，气氛隆重热烈。中国人民政治协商会议会徽悬挂在主席台正中，十面鲜艳的红旗分列两侧。</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全国政协十四届四次会议应出席委员2125人，实到2078人，符合规定人数。</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全国政协主席王沪宁，全国政协副主席石泰峰、胡春华、沈跃跃、王勇、周强、帕巴拉·格列朗杰、何厚铧、梁振英、巴特尔、苏辉、邵鸿、高云龙、穆虹、咸辉、王东峰、姜信治、蒋作君、何报翔、王光谦、秦博勇、朱永新、杨震在主席台前排就座。</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党和国家领导人习近平、李强、赵乐际、蔡奇、丁薛祥、李希、韩正等在主席台就座，祝贺大会召开。</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下午3时，石泰峰宣布大会开幕，全体起立，高唱中华人民共和国国歌。</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大会首先审议通过了政协第十四届全国委员会第四次会议议程。</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王沪宁代表政协第十四届全国委员会常务委员会，向大会报告工作。</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王沪宁表示，2025年是中国式现代化进程中具有重要意义的一年。面对错综复杂的国际形势和艰巨繁重的国内改革发展稳定任务，以习近平同志为核心的中共中央团结带领全党全国各族人民，迎难而上、奋力拼搏，统筹国内国际两个大局，顺利完成全年经济社会发展主要目标，“十四五”圆满收官，我国经济实力、科技实力、国防实力、综合国力跃上新台阶，中国式现代化迈出新的坚实步伐。中共二十届四中全会胜利召开，擘画了“十五五”发展蓝图。</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王沪宁总结了过去一年来人民政协工作。他说，政协全国委员会及其常务委员会坚持以习近平新时代中国特色社会主义思想为指导，深刻领悟“两个确立”的决定性意义，增强“四个意识”、坚定“四个自信”、做到“两个维护”，认真贯彻落实中共二十大和二十届历次全会精神，贯彻落实习近平总书记关于加强和改进人民政协工作的重要思想和在庆祝中国人民政治协商会议成立75周年大会上的重要讲话精神，坚持党的领导、统一战线、协商民主有机结合，坚持人民政协性质定位，坚持围绕中心、服务大局，充分发挥专门协商机构作用。坚持中国共产党的全面领导和党中央集中统一领导，自觉践行“两个维护”；学习宣传贯彻中共二十届四中全会精神，聚焦“十五五”规划制定建言献策；重视发挥专门委员会基础性作用和界别特色作用，提高专门协商机构效能；开展深入贯彻中央八项规定精神学习教育，营造风清气正、干事创业的良好氛围，各项工作取得新成效。</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王沪宁表示，2026年是“十五五”开局之年，人民政协要坚持以习近平新时代中国特色社会主义思想为指导，深入贯彻中共二十大和二十届历次全会精神，认真落实中共二十届四中全会部署，贯彻落实习近平总书记关于加强和改进人民政协工作的重要思想，坚持和完善中国共产党领导的多党合作和政治协商制度，坚持人民政协性质定位，坚持团结和民主两大主题，坚持聚焦党和国家中心任务履职尽责，组织参加人民政协的各党派团体和各族各界人士，为实现“十五五”良好开局广泛凝聚人心、凝聚共识、凝聚智慧、凝聚力量。</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王沪宁表示，要毫不动摇坚持中国共产党的领导，把牢正确政治方向；坚持把党的创新理论武装融入日常抓在经常，提升思想政治引领、广泛凝聚共识工作实效；围绕“十五五”规划实施议政建言，以高质量履职成果服务党和国家中心任务；充分发挥委员主体作用，提高履职能力和水平，勠力同心、勇毅前行，推动新时代新征程人民政协事业高质量发展，为在中国特色社会主义道路上建设社会主义现代化国家贡献智慧和力量。</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全国政协副主席何报翔代表政协第十四届全国委员会常务委员会，向大会报告全国政协十四届三次会议以来的提案工作情况。全国政协十四届三次会议以来，共提出提案5992件，经审查立案5061件，99.9%的提案已经办复。提案围绕全面建成社会主义现代化强国、实现第二个百年奋斗目标的宏伟蓝图，紧扣“五位一体”总体布局和“四个全面”战略布局，建睿智之言、献务实之策，提案所提建议为全面完成“十四五”规划目标任务、研究制定“十五五”规划，促进经济社会高质量发展发挥积极作用。</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在主席台就座的领导同志还有：王毅、尹力、刘国中、李干杰、李书磊、李鸿忠、何立峰、张国清、陈文清、陈吉宁、陈敏尔、袁家军、黄坤明、刘金国、王小洪、张升民、王东明、肖捷、郑建邦、丁仲礼、蔡达峰、何维、武维华、铁凝、彭清华、张庆伟、洛桑江村、雪克来提·扎克尔、吴政隆、谌贻琴、张军、应勇等。</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中共中央、全国人大常委会、国务院有关部门负责同志应邀列席开幕会。外国驻华使节、海外华侨等应邀参加开幕会。</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sectPr>
          <w:pgSz w:w="11907" w:h="16840"/>
          <w:pgMar w:top="1440" w:right="1644" w:bottom="1440" w:left="1701" w:header="851" w:footer="992" w:gutter="0"/>
          <w:cols w:space="425" w:num="1"/>
          <w:docGrid w:type="lines" w:linePitch="312" w:charSpace="0"/>
        </w:sectPr>
      </w:pPr>
      <w:r>
        <w:rPr>
          <w:rFonts w:hint="eastAsia"/>
          <w:kern w:val="0"/>
          <w:lang w:val="en-US" w:eastAsia="zh-CN"/>
        </w:rPr>
        <w:t>（来源：人民日报）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十四届全国人大四次会议在京开幕</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 第十四届全国人民代表大会第四次会议5日上午在北京人民大会堂开幕。全国人大代表肩负人民重托出席大会，履行宪法和法律赋予的神圣职责。</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人民大会堂万人大礼堂气氛庄重热烈，主席台帷幕正中的国徽在鲜艳的红旗映衬下熠熠生辉。</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大会主席团常务主席、执行主席赵乐际主持大会。大会主席团常务主席、执行主席李鸿忠、王东明、肖捷、郑建邦、丁仲礼、蔡达峰、何维、武维华、铁凝、彭清华、张庆伟、洛桑江村、雪克来提·扎克尔、刘奇在主席台执行主席席就座。</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习近平、李强、王沪宁、蔡奇、丁薛祥、李希、韩正和大会主席团成员在主席台就座。</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十四届全国人大四次会议应出席代表2878人。5日上午的会议，出席2765人，缺席113人，出席人数符合法定人数。</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上午9时，赵乐际宣布：中华人民共和国第十四届全国人民代表大会第四次会议开幕。会场全体起立，高唱国歌。</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根据会议议程，国务院总理李强代表国务院向大会作政府工作报告。报告共分四个部分：一、2025年工作回顾；二、“十五五”时期主要目标和重大任务；三、2026年经济社会发展总体要求和政策取向；四、2026年政府工作任务。</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李强在报告中指出，2025年是很不平凡的一年。面对国内外形势深刻复杂的变化，以习近平同志为核心的党中央团结带领全国各族人民迎难而上、奋力拼搏，坚定不移贯彻新发展理念、推动高质量发展，统筹国内国际两个大局，全年经济社会发展主要目标任务顺利完成，“十四五”圆满收官，中国式现代化迈出新的坚实步伐。</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李强在报告中指出，我们深入学习贯彻习近平新时代中国特色社会主义思想，全面贯彻落实党的二十大和二十届历次全会精神，按照党中央决策部署，一年来主要做了以下工作：一是实施更加积极有为的宏观政策，着力稳定经济运行；二是坚持创新驱动发展，建设现代化产业体系；三是进一步深化改革开放，畅通国民经济循环；四是统筹推进新型城镇化和乡村全面振兴，促进城乡区域协调发展；五是切实抓好民生保障，积极发展社会事业；六是加快美丽中国建设，推动绿色低碳发展；七是持续加强政府建设，创新和完善社会治理。</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李强在报告中指出，过去5年，党和国家事业取得新的重大成就，第二个百年奋斗目标新征程实现良好开局。“十四五”规划《纲要》确定的20项主要指标、17方面重大战略任务、102项重大工程项目胜利完成。</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李强在报告中指出，根据《中共中央关于制定国民经济和社会发展第十五个五年规划的建议》，国务院编制了《中华人民共和国国民经济和社会发展第十五个五年规划纲要（草案）》，提交大会审查。贯彻落实党中央《建议》明确的主要目标，《纲要（草案）》细化提出20项主要指标；分领域阐述了“十五五”发展的重大战略任务，突出体现四个方面：一是突出推动高质量发展，二是突出做强国内大循环，三是突出推进全体人民共同富裕，四是突出统筹发展和安全；围绕推动“十五五”目标任务落实落地，统筹考虑战略性、牵引性和连续性，《纲要（草案）》提出6方面109项重大工程。</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李强在报告中提出，今年发展主要预期目标是：经济增长4.5%—5%，在实际工作中努力争取更好结果；城镇调查失业率5.5%左右，城镇新增就业1200万人以上；居民消费价格涨幅2%左右；居民收入增长和经济增长同步；国际收支基本平衡；粮食产量1.4万亿斤左右；单位国内生产总值二氧化碳排放降低3.8%左右。</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李强在报告中提出，党中央对今年工作作出了全面部署，我们要深入贯彻落实，扎实做好各项工作：着力建设强大国内市场；加紧培育壮大新动能；加快高水平科技自立自强；持续深化重点领域改革；进一步扩大高水平对外开放；扎实推进乡村全面振兴；推动新型城镇化和区域协调发展；更大力度保障和改善民生；加快推动全面绿色转型；加强重点领域风险防范化解和安全能力建设。</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报告中，李强还就加强政府自身建设，民族、宗教和侨务工作，国防和军队现代化建设，香港、澳门发展和两岸关系，以及我国外交政策等作了阐述。</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根据会议议程，大会审查国民经济和社会发展第十五个五年规划纲要草案、国务院关于2025年国民经济和社会发展计划执行情况与2026年国民经济和社会发展计划草案的报告及2026年国民经济和社会发展计划草案、国务院关于2025年中央和地方预算执行情况与2026年中央和地方预算草案的报告及2026年中央和地方预算草案。</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受全国人大常委会委托，全国人大常委会副委员长李鸿忠分别作关于生态环境法典草案的说明、关于民族团结进步促进法草案的说明、关于国家发展规划法草案的说明。</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关于生态环境法典草案的说明指出，编纂生态环境法典，将党的十八大以来生态文明建设理论、制度、实践成果以法典化的方式确定下来，完善生态环境法律制度体系，具有重大而深远的意义。编纂生态环境法典的指导思想是：坚持以习近平新时代中国特色社会主义思想为指导，深刻领悟“两个确立”的决定性意义，增强“四个意识”、坚定“四个自信”、做到“两个维护”，深入贯彻落实党的二十大和二十届历次全会精神，坚持党的领导、人民当家作主、依法治国有机统一，紧紧围绕统筹推进“五位一体”总体布局和协调推进“四个全面”战略布局，聚焦建设更加完善的中国特色社会主义法治体系、建设更高水平的社会主义法治国家，总结实践经验，适应时代要求，同步推进高质量发展和高水平保护，对我国现行的污染防治、生态保护、绿色低碳发展等方面的生态环境法律制度机制和规则规范进行全面系统的编订纂修，形成一部以习近平新时代中国特色社会主义思想特别是习近平生态文明思想为引领，具有中国特色、体现时代特点、反映人民意愿、系统规范协调的生态环境法典，为全面建成社会主义现代化强国、实现第二个百年奋斗目标，以中国式现代化全面推进中华民族伟大复兴提供完备的生态环境法治保障。根据说明，草案共5编、1242条，各编依次为总则、污染防治、生态保护、绿色低碳发展、法律责任和附则。</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关于民族团结进步促进法草案的说明指出，贯彻落实党中央决策部署，立足新时代党的民族工作的历史方位，全面贯彻宪法规定、原则和精神，制定民族团结进步促进法，为铸牢中华民族共同体意识、推进中华民族共同体建设夯实法治根基，对于全面推进民族团结进步事业，推动全国各族人民为以中国式现代化全面推进强国建设、民族复兴伟业团结奋斗，具有重大意义。立法坚持以习近平新时代中国特色社会主义思想为指导，深入学习贯彻习近平法治思想、习近平文化思想、习近平总书记关于加强和改进民族工作的重要思想，全面贯彻党的二十大和二十届历次全会精神，认真总结党的十八大以来民族工作取得的历史性成就和成功经验，以铸牢中华民族共同体意识为主线，推动民族团结进步事业高质量发展。草案采用“序言+7章”的体例，共64条。</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关于国家发展规划法草案的说明指出，认真总结长期以来国家发展规划工作的成功经验，制定国家发展规划法，对国家发展规划工作应当坚持的指导思想和原则理念予以明确，对国家发展规划的编制、审查和批准、实施及其监督等具体程序作出全面系统规定，为在法治轨道上科学编制和有效实施国家发展规划提供有力制度保障。立法坚持以习近平新时代中国特色社会主义思想为指导，深入贯彻党的二十大和二十届历次全会精神，坚持以人民为中心，完整准确全面贯彻新发展理念，总结长期以来特别是新时代以来国家发展规划工作成功经验，以宪法为依据，将多年来行之有效的做法确立为法律制度规范，着力提高国家发展规划工作法治化水平，更好发挥国家发展规划的战略导向作用，更好发挥国家制度优势和治理效能。草案分为6章，共38条。</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在主席台就座的还有：王毅、尹力、石泰峰、刘国中、李干杰、李书磊、何立峰、张国清、陈文清、陈吉宁、陈敏尔、袁家军、黄坤明、刘金国、王小洪、张升民、吴政隆、谌贻琴、张军、应勇、胡春华、沈跃跃、王勇、周强、帕巴拉·格列朗杰、何厚铧、梁振英、巴特尔、苏辉、邵鸿、高云龙、穆虹、咸辉、王东峰、姜信治、蒋作君、何报翔、王光谦、秦博勇、朱永新、杨震等。</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香港特别行政区行政长官李家超、澳门特别行政区行政长官岑浩辉列席会议并在主席台就座。</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出席全国政协十四届四次会议的政协委员列席大会。</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中央和国家机关有关部门、解放军有关单位和武警部队、各人民团体有关负责人列席或旁听了大会。</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外国驻华使节旁听了大会。</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sectPr>
          <w:pgSz w:w="11907" w:h="16840"/>
          <w:pgMar w:top="1440" w:right="1644" w:bottom="1440" w:left="1701" w:header="851" w:footer="992" w:gutter="0"/>
          <w:cols w:space="425" w:num="1"/>
          <w:docGrid w:type="lines" w:linePitch="312" w:charSpace="0"/>
        </w:sectPr>
      </w:pPr>
      <w:r>
        <w:rPr>
          <w:rFonts w:hint="eastAsia"/>
          <w:kern w:val="0"/>
          <w:lang w:val="en-US" w:eastAsia="zh-CN"/>
        </w:rPr>
        <w:t>（来源：人民日报）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6"/>
          <w:szCs w:val="36"/>
          <w:shd w:val="clear" w:fill="FFFFFF"/>
          <w:lang w:val="en-US" w:eastAsia="zh-CN"/>
        </w:rPr>
      </w:pPr>
      <w:r>
        <w:rPr>
          <w:rFonts w:hint="eastAsia" w:ascii="微软雅黑" w:hAnsi="微软雅黑" w:eastAsia="微软雅黑" w:cs="微软雅黑"/>
          <w:b/>
          <w:i w:val="0"/>
          <w:caps w:val="0"/>
          <w:spacing w:val="8"/>
          <w:sz w:val="36"/>
          <w:szCs w:val="36"/>
          <w:shd w:val="clear" w:fill="FFFFFF"/>
          <w:lang w:val="en-US" w:eastAsia="zh-CN"/>
        </w:rPr>
        <w:t>中华人民共和国国民经济和社会发展第十五个五年规划纲要</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目  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第一篇  奋力开创中国式现代化建设新局面</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第一章  发展环境</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第二章  指导方针</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第三章  主要目标</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第二篇  建设现代化产业体系  巩固壮大实体经济根基</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第四章  优化提升传统产业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第五章  培育壮大新兴产业和未来产业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第六章  促进服务业优质高效发展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第七章  构建现代化基础设施体系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第三篇  加快高水平科技自立自强  引领发展新质生产力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第八章  加强原始创新和关键核心技术攻关</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第九章  提高体系化创新能力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第十章  强化企业科技创新主体地位</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第十一章  一体推进教育科技人才发展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第四篇  深入推进数字中国建设  提升数智化发展水平</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第十二章  强化算力算法数据高效供给</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第十三章  全方位推进数智技术赋能</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第十四章  营造健康有序的发展生态</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第五篇  建设强大国内市场  加快构建新发展格局</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第十五章  大力提振消费</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第十六章  扩大有效投资</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第十七章  纵深推进全国统一大市场建设</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第六篇  加快构建高水平社会主义市场经济体制  增强高质量发展动力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第十八章  充分激发各类经营主体活力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第十九章  加快完善要素市场化配置体制机制</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第二十章  健全宏观经济治理体系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第七篇  扩大高水平对外开放  开创合作共赢新局面</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第二十一章  积极扩大自主开放</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第二十二章  提升贸易投资合作质量和水平</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第二十三章  高质量共建“一带一路”</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第二十四章  推动构建人类命运共同体</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第八篇  加快农业农村现代化  扎实推进乡村全面振兴</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第二十五章  提升农业综合生产能力和质量效益</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第二十六章  推进宜居宜业和美乡村建设</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第二十七章  提高强农惠农富农政策效能</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第九篇  优化区域经济布局  促进区域协调发展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第二十八章  增强区域发展协调性</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第二十九章  促进区域联动发展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第三十章  优化国土空间发展格局</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第三十一章  深入推进以人为本的新型城镇化</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第三十二章  加强海洋开发利用保护</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第十篇  激发全民族文化创新创造活力  繁荣发展社会主义文化</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第三十三章  弘扬和践行社会主义核心价值观</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第三十四章  大力繁荣文化事业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第三十五章  加快发展文化产业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第三十六章  提升中华文明传播力影响力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第十一篇  完善人口发展战略  促进人口高质量发展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第三十七章  建设生育友好型社会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第三十八章  办好人民满意的教育</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第三十九章  加快建设健康中国</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第四十章  积极应对人口老龄化</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第十二篇  加大保障和改善民生力度  扎实推进全体人民共同富裕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第四十一章  促进高质量充分就业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第四十二章  完善收入分配制度</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第四十三章  健全社会保障体系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第四十四章  推动房地产高质量发展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第四十五章  稳步推进基本公共服务均等化</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第四十六章  保障各类群体发展权益</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第十三篇  加快经济社会发展全面绿色转型  建设美丽中国</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第四十七章  积极稳妥推进和实现碳达峰</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第四十八章  持续改善环境质量</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第四十九章  提升生态系统多样性稳定性持续性</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第五十章  加快形成绿色生产生活方式</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第十四篇  推进国家安全体系和能力现代化  建设更高水平平安中国</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第五十一章  加强国家安全体系和能力建设</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第五十二章  保障国家经济安全</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第五十三章  提高公共安全治理水平</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第五十四章  完善社会治理体系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第十五篇  如期实现建军一百年奋斗目标  高质量推进国防和军队现代化</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第五十五章  着力提高国防和军队现代化质量效益</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第五十六章  巩固提高一体化国家战略体系和能力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第十六篇  发展全过程人民民主  完善中国特色社会主义法治体系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第五十七章  发展社会主义民主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第五十八章  推进全面依法治国</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第十七篇  坚持和完善“一国两制”  推进祖国统一</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第五十九章  促进香港、澳门长期繁荣稳定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第六十章  推动两岸关系和平发展、推进祖国统一大业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第十八篇  加强规划实施保障</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第六十一章  坚持和加强党中央集中统一领导</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第六十二章  健全规划实施全周期推进机制</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中华人民共和国国民经济和社会发展第十五个五年（2026—2030年）规划纲要，根据《中共中央关于制定国民经济和社会发展第十五个五年规划的建议》编制，主要阐明国家战略意图，明确政府工作重点，引导规范社会主体行为，是“十五五”时期我国全面建设社会主义现代化国家的宏伟蓝图，是全国各族人民共同的行动纲领。</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第一篇  奋力开创中国式现代化建设新局面</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十五五”时期在基本实现社会主义现代化进程中具有承前启后的重要地位，是夯实基础、全面发力的关键时期，必须不懈努力、接续奋斗，推动事关中国式现代化全局的战略任务取得重大突破，为基本实现社会主义现代化奠定更加坚实的基础。</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第一章  发展环境</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站在新的起点上，我国发展基础更加坚实，发展环境发生深刻复杂变化，面临新的机遇和挑战。</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“十四五”时期我国发展取得重大成就</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十四五”时期是全面建设社会主义现代化国家新征程的开局起步阶段，我国发展历程极不寻常、极不平凡。面对错综复杂的国际形势和艰巨繁重的国内改革发展稳定任务，以习近平同志为核心的党中央团结带领全党全国各族人民，迎难而上、砥砺前行，经受住世纪疫情严重冲击，有效应对一系列重大风险挑战，推动党和国家事业取得新的重大成就。</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新发展理念引领作用全面彰显，构建新发展格局迈出重要步伐，新质生产力稳步发展，高质量发展扎实推进。经济运行稳中有进，国内生产总值突破140万亿元，现代化产业体系建设取得重大进展，基础设施支撑能力不断提升，数字经济核心产业增加值占比超过10.5%，城乡区域发展平衡性协调性增强。科技创新成果丰硕，全社会研发经费投入强度达到2.8%，攻克一批重大关键核心技术，取得一批重大原创科技成果。全面深化改革进一步推进，落实“两个毫不动摇”的体制机制不断完善，全国统一大市场建设取得积极成效，宏观经济治理效能进一步提升。高水平对外开放不断扩大，开放型经济新体制加快形成，高质量共建“一带一路”走深走实。全过程人民民主深入发展，全面依法治国有效实施。文化事业和文化产业蓬勃发展，精神文化产品丰富多彩。民生保障扎实稳固，居民人均可支配收入年均增长5.4%，城镇新增就业累计达到6242万人，劳动年龄人口平均受教育年限达到11.3年，人均预期寿命提升至79岁以上，脱贫攻坚成果巩固拓展。绿色低碳转型步伐加快，生态环境质量持续改善，非化石能源发电装机容量超过化石能源，地级及以上城市细颗粒物（PM2.5）浓度降至28微克/立方米，地表水达到或好于Ⅲ类水体比例超过90%，森林覆盖率超过25%。国家安全能力有效提升，粮食产量迈上1.4万亿斤大台阶，社会治理效能增强，社会大局保持稳定。国防和军队建设取得重大进展。“一国两制”实践深入推进。中国特色大国外交全面拓展。全面从严治党成效显著，反腐败斗争纵深推进，党的创造力、凝聚力、战斗力明显提高。</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十四五”规划主要目标任务胜利完成，我国经济实力、科技实力、国防实力、综合国力跃上新台阶，中国式现代化迈出新的坚实步伐，第二个百年奋斗目标新征程实现良好开局。这些重大成就的取得，根本在于以习近平同志为核心的党中央领航掌舵，在于习近平新时代中国特色社会主义思想科学指引，是全党全军全国各族人民聚力攻坚、团结奋斗的结果。</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“十五五”时期我国发展环境面临深刻复杂变化</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大国关系牵动国际形势，国际形势演变深刻影响国内发展，我国发展处于战略机遇和风险挑战并存、不确定难预料因素增多的时期。从国际看，世界百年变局加速演进，国际力量对比深刻调整，新一轮科技革命和产业变革加速突破，我国具备主动运筹国际空间、塑造外部环境的诸多有利因素。同时，世界变乱交织、动荡加剧，地缘冲突易发多发，全球治理赤字加重、安全问题凸显；单边主义、保护主义抬头，霸权主义和强权政治威胁上升，国际经济贸易秩序遇到严峻挑战，世界经济增长动能不足、风险积累；大国博弈更加复杂激烈，外部环境的不确定性不稳定性明显增强。</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从国内看，我国经济基础稳、优势多、韧性强、潜能大，长期向好的支撑条件和基本趋势没有变，中国特色社会主义制度优势、超大规模市场优势、完整产业体系优势、丰富人才资源优势更加彰显。同时，发展不平衡不充分问题仍然突出，周期性、结构性、体制性问题相互交织；有效需求不足，供强需弱矛盾突出，国内大循环存在卡点堵点；新旧动能转换任务艰巨；农业农村现代化相对滞后；就业和居民收入增长压力较大，民生保障存在短板弱项；人口结构变化给经济发展、社会治理等提出新课题；重点领域还有风险隐患，防范化解房地产、地方政府债务、中小金融机构等风险任务繁重。</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变局蕴含机遇，挑战激发斗志。面对国际风云变幻和各种风险挑战，必须深刻领悟“两个确立”的决定性意义，增强“四个意识”、坚定“四个自信”、做到“两个维护”，保持战略定力，增强必胜信心，积极识变应变求变，敢于斗争、善于斗争，勇于面对风高浪急甚至惊涛骇浪的重大考验，以历史主动精神克难关、战风险、迎挑战，集中力量办好自己的事，统筹布局、精心安排，巩固拓展优势、破除瓶颈制约、补强短板弱项，在激烈国际竞争中赢得战略主动，以高质量发展的确定性应对各种不确定性，续写经济快速发展和社会长期稳定两大奇迹新篇章。</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第二章  指导方针</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推动“十五五”时期经济社会发展，必须牢牢把握以下指导思想和重大原则。</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指导思想</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马克思列宁主义、毛泽东思想、邓小平理论、“三个代表”重要思想、科学发展观，全面贯彻习近平新时代中国特色社会主义思想，深入贯彻党的二十大和二十届历次全会精神，认真落实四中全会部署，围绕全面建成社会主义现代化强国、实现第二个百年奋斗目标，以中国式现代化全面推进中华民族伟大复兴，统筹推进“五位一体”总体布局，协调推进“四个全面”战略布局，统筹国内国际两个大局，完整准确全面贯彻新发展理念，加快构建新发展格局，坚持稳中求进工作总基调，坚持以经济建设为中心，以推动高质量发展为主题，以改革创新为根本动力，以满足人民日益增长的美好生活需要为根本目的，以全面从严治党为根本保障，推动经济实现质的有效提升和量的合理增长，推动人的全面发展、全体人民共同富裕迈出坚实步伐，确保基本实现社会主义现代化取得决定性进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必须遵循的原则</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——坚持党的全面领导。坚决维护党中央权威和集中统一领导，提高党把方向、谋大局、定政策、促改革能力，把党的领导贯穿经济社会发展各方面全过程，为我国社会主义现代化建设提供根本保证。</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人民至上。尊重人民主体地位，紧紧依靠人民，维护人民根本利益，促进社会公平正义，注重在发展中保障和改善民生，在满足民生需求中拓展发展空间，推动经济和社会协调发展、物质文明和精神文明相得益彰，让现代化建设成果更多更公平惠及全体人民。</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高质量发展。以新发展理念引领发展，因地制宜发展新质生产力，做强国内大循环，畅通国内国际双循环，统筹扩大内需和深化供给侧结构性改革，加快培育新动能，促进经济结构优化升级，做优增量、盘活存量，推动经济持续健康发展和社会全面进步。</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全面深化改革。聚焦制约高质量发展的体制机制障碍，推进深层次改革，扩大高水平开放，推动生产关系和生产力、上层建筑和经济基础、国家治理和社会发展更好相适应，持续增强发展动力和社会活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有效市场和有为政府相结合。充分发挥市场在资源配置中的决定性作用，更好发挥政府作用，构建统一、开放、竞争、有序的市场体系，建设法治经济、信用经济，打造市场化法治化国际化一流营商环境，形成既“放得活”又“管得好”的经济秩序。</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——坚持统筹发展和安全。在发展中固安全，在安全中谋发展，强化底线思维，有效防范化解各类风险，增强经济和社会韧性，以新安全格局保障新发展格局。</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第三章  主要目标</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“十五五”时期经济社会发展要实现以下目标。</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高质量发展取得显著成效。在结构优化和质量提升基础上，国内生产总值增长保持在合理区间、各年度视情提出，为到2035年人均国内生产总值比2020年翻一番、达到中等发达国家水平打好基础。全要素生产率稳步提升，科技进步和制度创新对经济增长的贡献持续加大。居民消费率明显提高，内需拉动经济增长主动力作用持续增强，经济增长潜力得到充分释放。全国统一大市场建设纵深推进，超大规模市场优势持续显现。新型工业化、信息化、城镇化、农业现代化取得重大进展，现代化产业体系完整性、先进性、安全性加快提升，城乡区域发展协调性进一步增强，发展新质生产力、构建新发展格局、建设现代化经济体系取得重大突破。</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科技自立自强水平大幅提高。国家创新体系整体效能显著提升，全社会研发经费投入年均增长7%以上，教育科技人才一体发展格局基本形成。基础研究和原始创新能力显著增强，重点领域关键核心技术快速突破，产出一批重大原创性、标志性、引领性科技成果，并跑领跑领域明显增多。科技创新和产业创新深度融合，创新驱动作用明显增强。</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进一步全面深化改革取得新突破。国家治理体系和治理能力现代化深入推进，社会主义市场经济体制更加完善，高水平对外开放体制机制更加健全，更加公平、更有活力的市场环境加快形成，全过程人民民主制度化、规范化、程序化水平进一步提高，社会主义法治国家建设达到更高水平。</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社会文明程度明显提升。文化自信更加坚定，主流思想舆论不断巩固壮大，社会主义核心价值观广泛践行，全民族文化创新创造活力不断激发，人民精神文化生活更加丰富，中华民族凝聚力和中华文化影响力显著增强，国家软实力持续提高。</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人民生活品质不断提高。就业保持总体稳定，城镇调查失业率低于5.5%，高质量充分就业取得新进展。居民收入增长和经济增长同步、劳动报酬提高和劳动生产率提高同步，分配结构得到优化，中等收入群体持续扩大。劳动年龄人口平均受教育年限提高到11.7年，人民群众养老托育服务需求得到更好满足，人均预期寿命提高到80岁，社会保障制度更加优化更可持续，基本公共服务均等化水平明显提升。</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美丽中国建设取得新的重大进展。绿色生产生活方式基本形成，碳达峰目标如期实现，单位国内生产总值二氧化碳排放降低17%，清洁低碳安全高效的新型能源体系初步建成。生态环境质量全面改善，主要污染物排放总量持续减少，地级及以上城市细颗粒物（PM2.5）浓度降至27微克/立方米以下，优良水体比例提高到85%，森林覆盖率达到25.8%，生态系统多样性稳定性持续性不断提升。</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国家安全屏障更加巩固。国家安全体系和能力进一步加强，粮食综合生产能力达到1.45万亿斤左右，能源综合生产能力达到58亿吨标准煤，重点领域风险得到有效防范化解，社会治理和公共安全治理水平明显提高，重特大事故得到有效遏制，自然灾害防御水平显著提升，建军一百年奋斗目标如期实现，更高水平平安中国建设扎实推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在此基础上再奋斗五年，到2035年实现我国经济实力、科技实力、国防实力、综合国力和国际影响力大幅跃升，人均国内生产总值达到中等发达国家水平，人民生活更加幸福美好，基本实现社会主义现代化。（见专栏1）</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第二篇  建设现代化产业体系  巩固壮大实体经济根基</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把发展经济的着力点放在实体经济上，坚持智能化、绿色化、融合化方向，加快建设制造强国、质量强国、航天强国、交通强国、网络强国，保持制造业合理比重，构建以先进制造业为骨干的现代化产业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第四章  优化提升传统产业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强化国家标准引领、数智绿色技术赋能、环保安全制度约束，巩固提升我国产业在全球分工中的地位和竞争力。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推动重点产业提质升级</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因势利导、分业施策，促进重点产业化解结构性矛盾、加快向中高端升级。推动钢铁、石化、船舶等产业结构调整，做强做优精品钢材基地、一流石化基地、高端船舶和海洋工程装备基地。推进电子信息、机械装备等全产业链创新，发展高端、短缺产品，加快突破关键零部件、元器件和专用材料。扩大轻工、纺织等优质产品供给。巩固提升建筑业竞争力。推动技术改造升级，发展智能制造、绿色制造、服务型制造，加快产业模式和企业组织形态变革。发展先进制造业集群，建设国家新型工业化示范区。加强全面质量管理，深入实施制造业卓越质量工程，增强质量技术基础能力。推进标准更新升级，严格安全、环保、能效、质量等规范管理，促进市场化兼并重组，推动落后低效产能有序退出。</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提升产业链自主可控水平</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实施产业基础再造工程，加快突破一批重大基础技术、工艺和产品，推进先进材料、跨尺度制造等创新应用。实施重大技术装备攻关工程，突破一批标志性重大技术装备。滚动实施制造业重点产业链高质量发展行动，建立健全产业链供应链安全风险评估和应对机制，持续增强稀土、稀有金属、超硬材料等竞争优势，加强重要战略性矿产高质高效综合利用。推进国家战略腹地建设和关键产业备份，建设战略性产业基地、物资储备基地和基础设施。建立产业基础竞争力调查制度，强化共性技术研发支撑能力。完善首台（套）、首批次、首版次应用政策。</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健全产业健康有序发展促进机制</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完善产业调控和政策体系，优化产业布局，加强要素协同保障。健全产能监测预警机制，采取规划引导、产能调控、价格治理、行业自律等措施，综合整治“内卷式”竞争。推动产业政策向普惠化和功能性转型，健全产业政策制定实施、信息披露、评估调整和退出机制。完善优质企业梯度培育体系，促进中小企业专精特新发展。合理降低制造业综合成本，加大中长期贷款和信用贷款对制造业技术创新、数智化转型、绿色发展等支持力度。实施制造业人才支持计划和专业技术人才知识更新工程，培养造就卓越工程师、大国工匠、高技能人才。（见专栏2）</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第五章  培育壮大新兴产业和未来产业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强化源头技术供给，加快构建应用场景和生态体系，培育更多支柱性先导性产业，构筑产业发展新优势。</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发展壮大新兴产业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加快新一代信息技术、新能源、新材料、智能网联新能源汽车、机器人、生物医药、高端装备、航空航天等战略性新兴产业发展，因地制宜建设各具特色、优势互补的战略性新兴产业集群，着力打造一批成长潜力大、技术含量高、渗透领域广的新兴支柱产业。拓展海洋经济发展空间，推进低空经济健康有序发展。实施新技术新产品新场景大规模应用示范行动，加大场景培育和开放力度，加快新兴产业规模化发展。鼓励发展战略性产品和服务，推进国产大飞机规模化系列化发展，加强北斗系统创新应用，扎实推进智能驾驶、新型太阳能电池、新型储能等关键技术创新，支持创新药临床使用。</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前瞻布局未来产业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瞄准引领未来发展重点领域，构建未来产业全链条培育体系，推动量子科技、生物制造、氢能和核聚变能、脑机接口、具身智能、第六代移动通信等成为新的经济增长点。加强未来产业识别和动态调整，强化基础性、前沿性、颠覆性技术布局。建立未来产业投入增长和风险分担机制，组织实施未来产业发展示范工程，探索多元技术路线、典型应用场景、可行商业模式、市场监管规则。布局一批国家未来产业研究院和概念验证中心，依托科教资源优势突出、产业基础雄厚地区建设一批未来产业先导区。</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完善产业创新发展生态</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着力构建有利于新兴产业孵化成长的市场环境和政策体系。实施产业创新工程，优化战略性产品技术创新组织模式和评价体系，一体推进创新设施建设、技术研究开发、产品迭代升级。完善新兴领域知识产权保护制度，健全知识产权公共服务体系和技术交易服务平台网络，实施新产业标准化领航工程。培育独角兽企业。建立适应新业态发展的高效便捷准入机制，探索“沙盒监管”、触发式监管等新型监管方式。提升低空空域管理精细化水平，加强适航审定能力建设，强化低空飞行安全保障。推进生物医药、智能驾驶、低空经济等新兴领域立法。（见专栏3）</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第六章  促进服务业优质高效发展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实施服务业扩能提质行动，深化服务领域改革开放，完善支持政策体系，全面提升服务业质量效率和竞争力，更好发挥服务业支撑产业升级、满足民生需要、带动就业扩容的作用。</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推进生产性服务业向专业化和价值链高端延伸</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全链条补强生产性服务业薄弱环节，提高现代服务业与先进制造业、现代农业融合发展水平。大力发展科技服务，提升研发设计、知识产权、科技成果转化、检验检测认证等服务能力，培育具有国际水准的工业设计中心，依托产业集群布局一批行业共性技术平台、中试验证平台和集成高效质量基础设施。提高金融租赁、物流仓储、人力资源等服务综合竞争力，壮大节能环保、数智化转型等服务，提高增值服务比重。做强做优商务服务，发展高水平第三方专业机构，提高公信力和国际认可度。</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促进生活性服务业高品质多样化便利化发展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适应居民消费结构升级，积极发展普惠可及、个性多样的生活性服务业。加快补齐养老、托育、健康等普惠服务短板，健全政府购买服务、公建民营、民办公助等机制，支持多元主体扩大服务供给。鼓励批发零售、住宿餐饮特色优质发展，积极拓展新业态新模式，促进线上线下协同发展。提高家政、物业、快递等服务质量，创新社区集成服务模式，推动品牌化标准化发展。以带动面广的行业为依托，促进多业态融合发展。聚焦全民健康、智慧养老、文化旅游、到家服务等，培育一批生活性服务业新增长点。</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完善服务业发展政策体系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放宽服务领域准入，扩大优质经营主体，深化监管改革，健全适应业态融合的跨部门跨行业审批监管模式。扩大服务业高水平对外开放，吸引国际知名企业在华投资经营，拓展“制造+服务”海外经营网络。创新服务业融资和用地模式，完善普惠服务价格形成机制和配套政策，鼓励利用存量资源改建服务设施。加快养老、托育等重点领域服务标准建设，推行优质服务承诺、认证与标识制度。提升从业人员专业化水平，完善技能评价机制和信用体系。健全服务业统计监测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第七章  构建现代化基础设施体系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坚持适度超前、不过度超前，加强基础设施统筹规划，优化布局结构，促进集成融合，提升安全韧性和运营可持续性。</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完善现代化综合交通运输体系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推进补网强链提质，加强跨区域统筹布局、跨方式一体衔接，全面提高交通基础设施综合效益。完善国家综合立体交通网主骨架，高质量建设沿海沿边沿江、出疆入藏、西部陆海新通道等战略骨干通道，基本建成“八纵八横”高速铁路主通道和国家高速公路网，推进内河高等级航道提质升级，基本建成世界级港口群和机场群。强化薄弱地区覆盖和通达保障，推动普速铁路、普通国省道升级改造，开展新一轮农村公路提升行动，加强西部地区铁路和支线机场建设，完善边境地区路网布局。建设国际性、全国性综合交通枢纽城市，加强集疏运网络建设和场站衔接，完善国家邮政快递枢纽。健全多元化、韧性强的国际运输通道体系，推动跨境交通基础设施互联互通，促进国际航空货运健康有序发展。统筹功能提升和绿色安全智能发展，推进交通基础设施更新改造和养护管理，加强安全风险评估和监测预警，实施公路安全韧性提升工程。深化综合交通运输体系改革，推进铁路体制改革和收费公路政策优化。（见专栏4）</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加力建设新型能源基础设施</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深入实施能源安全新战略，加快构建清洁低碳安全高效的新型能源体系，建设能源强国。推进非化石能源安全可靠有序替代化石能源，坚持风光水核等多能并举，实施非化石能源十年倍增行动。统筹就地消纳和外送，建设“三北”风电光伏、西南水风光一体化、沿海核电、海上风电等清洁能源基地，加强分布式能源就近开发利用，布局发展绿色氢氨醇，积极推进光热发电和地热能利用。加强化石能源清洁高效利用，推进煤电改造升级和散煤替代。着力构建新型电力系统，全面提升电力系统互补互济和安全韧性水平，优化全国电力流向和跨区域通道布局，加快智能电网建设，完善城乡配电网，科学布局抽水蓄能，大力发展新型储能。提高终端用能电气化水平，推动能源消费绿色化低碳化。基本建成全国统一电力市场体系，完善油气“全国一张网”运行调度机制。（见专栏5）（见图1）</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加快建设现代化水网</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加强国家水网建设，增强洪涝灾害防御、水资源统筹调配、城乡供水保障能力。统筹流域性洪水和局域性灾害防御，加强防洪水库、河道及堤防、蓄滞洪区建设，推进中小河流系统治理和病险水库除险加固，增强暴雨集中区防洪避险能力。健全跨流域跨区域水资源调配体系，完善国家水网主骨架和骨干输配水通道。加强供水灌溉保障，整装推进大中型灌区建设改造，加快城市应急备用水源工程建设。加强河湖生态保护治理，推进水源涵养与水土保持，提升水生态系统自我修复能力。实施地下水保护治理行动，逐步实现采补平衡。（见专栏6）</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第四节  适度超前建设新型基础设施</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围绕支撑产业升级和数智化发展，推进新型基础设施布局建设和集约高效利用。完善信息通信网络，深化第五代移动通信（5G）、千兆光网规模部署，推进第五代移动通信演进（5G—A）、万兆光网建设发展和第六代移动通信（6G）技术创新，推动移动物联网自主迭代。深入推进东数西算工程，构建多层次算力设施体系和全国一体化算力网。实施国家区块链网络建设工程。完善民用空间基础设施，统筹建设卫星通信、导航、遥感系统，加快低轨卫星互联网组网。推进交通、能源、水利等基础设施数智化升级。（见专栏7）</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第三篇  加快高水平科技自立自强 引领发展新质生产力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抓住新一轮科技革命和产业变革历史机遇，统筹教育强国、科技强国、人才强国建设，提升国家创新体系整体效能，全面增强自主创新能力，抢占科技发展制高点，推动科技创新和产业创新深度融合，不断催生新质生产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第八章  加强原始创新和关键核心技术攻关</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坚持技术驱动和需求拉动相结合、锻长板和补短板相结合，完善新型举国体制，推动产出更多标志性原创成果。</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打好关键核心技术攻坚战</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聚焦战略必争领域和产业链供应链薄弱环节，采取超常规措施，全链条推动集成电路、工业母机、高端仪器、基础软件、先进材料、生物制造等重点领域关键核心技术攻关取得决定性突破。健全需求导向的攻关任务凝练机制，开展技术经济安全评估。强化跨领域跨学科协同，健全重大任务人才特殊调配机制，完善“揭榜挂帅”、“赛马”等制度，探索以奖代补、后补助等资金支持方式。强化以用促攻、攻用结合，一体推进技术研发、成果转化、标准研制、产业培育，加快攻关成果应用和产品迭代升级。</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强化战略前沿领域科技布局</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瞄准世界科技前沿强化系统布局，实施人工智能、量子科技、生物科技、新能源等科技战略部署，加快突破基础理论和底层技术，促进转化应用。高水平组织前沿技术预测预见，建立国家关键和新兴技术清单，持续推动前沿技术研发。强化科学研究、技术开发原始创新导向，优化有利于原创性颠覆性创新的环境，创新非共识项目遴选和资助机制，扩大国家重大科技任务、国家自然科学基金原创性颠覆性项目规模和比例。突出国家战略需求，扎实推进国家科技重大专项，超前部署面向2035的国家重大科技项目。（见专栏8）</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全面提升基础研究水平</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加强基础研究战略性、前瞻性、体系化布局，统筹推进目标导向和自由探索的基础研究。加快形成基础研究多元化投入格局，加大财政投入力度，完善税收激励政策，引导有条件的地方、企业、社会组织、个人支持基础研究，鼓励设立基础研究公益基金，实现基础研究经费投入占研发经费投入比重明显提高。完善竞争性支持和稳定支持相结合的投入机制，加大对从事基础研究的优势团队和青年科技人才长期稳定支持，探索长周期资助模式。鼓励开展高风险、高价值基础研究，营造鼓励探索、宽容失败的良好环境。围绕极宏观、极微观、极端条件、极综合交叉的科学前沿，加强新兴领域、交叉融合和跨学科基础研究。</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第九章  提高体系化创新能力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统筹国家战略科技力量建设，提高创新资源配置效率，构建自主完备、开放高效的国家创新体系。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增强国家战略科技力量引领作用</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优化国家实验室、国家科研机构、高水平研究型大学和科技领军企业等国家战略科技力量定位和布局。发挥国家实验室龙头作用，支持国家实验室牵头实施国家重大科技任务、探索新型科研组织模式，加强全国重点实验室建设。加快国家科研机构布局调整和优化重组，完善与职责定位相适应的管理运行机制。支持高水平研究型大学创造一流学术环境，打造基础研究主力军和人才培养主阵地。培育壮大科技领军企业，提升整合创新资源、构建产业生态能力。鼓励和规范发展新型研发机构。</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强化科技创新资源保障</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强化统筹协调的科技任务部署机制，健全国家重大科技决策咨询制度。完善中央财政科技经费分配和管理使用机制，健全重大科技任务央地投入共担机制，提高投入绩效。扩大财政科研项目经费“包干制”范围，赋予科学家更大技术路线决定权、更大经费支配权、更大资源调度权。强化科技基础条件自主保障，统筹科技创新平台基地建设，体系化布局建设重大科技基础设施，加强高端科研仪器、科技期刊、科学数据等条件建设，强化资源开放共享。完善区域创新体系，强化国际科技创新中心策源功能，布局建设区域科技创新中心和产业科技创新高地，增强综合性国家科学中心创新资源集群效应，完善央地联动、区域协同的创新机制。（见专栏9）</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构建高水平科技开放合作新格局</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营造具有全球竞争力的开放创新生态，支持与各国科研人员共同攻克基础前沿科学问题。发挥面向全球的科学研究基金作用，扩大科技计划对外开放，建立健全科技资金跨境拨付、境外使用管理制度和科研数据跨境安全有序流动机制，推动重大科研基础设施和平台向全球科学家开放使用。优化高校、科研院所、科技社团对外专业交流合作管理机制。牵头实施并积极参与国际大科学计划和大科学工程，支持在我国境内设立国际科技组织，打造具有全球影响力的国际科技奖项。</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第十章  强化企业科技创新主体地位</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落实企业在技术创新决策、研发投入、科研组织和成果转化应用中的主体地位，促进创新链产业链资金链人才链深度融合。</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推动创新资源向企业集聚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建立健全项目、平台、数据、人才等创新资源向企业集聚的政策体系。提高企业在国家重大科技创新决策中的参与度，将产业关键共性技术需求作为国家科技计划支持的重要方向，推动具备条件的企业重大科技项目纳入国家科技计划体系。支持企业更多承担国家科技攻关任务，在技术路线制定、攻关任务推进、参与单位选择和经费使用分配方面赋予牵头企业更大自主权。优先支持科技型骨干企业建设国家科技创新平台基地，加大国家科学数据和工程试验数据、人才计划向企业开放力度。完善科研人员离岗创业、兼职兼薪等政策，激励优秀人才向企业流动。</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加强企业主导的产学研融通创新</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鼓励企业面向产业需求与高校、科研院所联合开展科研攻关。支持科技型骨干企业牵头组建创新联合体，开展关键共性技术研发及科技成果中试和示范应用。深化职务科技成果赋权改革，建立职务科技成果资产单列管理制度，推进技术转移体系建设，加快科技成果高效转化应用。引导高校、科研院所按照先使用后付费方式把科技创新成果许可给中小微企业使用。鼓励科技领军企业向中小微企业开放科研条件和应用场景、提供技术开发服务。</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完善促进企业创新的政策体系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加强普惠性政策供给，营造有利于企业创新的良好环境。支持高新技术企业和科技型中小企业发展，提高企业研发费用加计扣除比例。建立企业研发准备金制度。构建同科技创新相适应的科技金融体制，完善长期资本投早、投小、投长期、投硬科技支持政策，支持优质科技型企业上市融资、发行债券，高质量建设债券市场“科技板”，大力发展创业投资，多渠道拓宽中长期创业投资资金来源，发挥国家创业投资引导基金、国家级并购基金作用。提高外资在华开展股权投资、风险投资便利性。加大政府采购自主创新产品力度。建立科技保险政策体系，丰富科技保险产品。强化知识产权全链条保护，优化专利商标审查政策，全面实施专利开放许可制度。</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第十一章  一体推进教育科技人才发展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深化教育科技人才一体改革，强化规划衔接、政策协同、资源统筹、评价联动，促进科技自主创新和人才自主培养良性互动。</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建立健全一体推进的协调机制</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健全教育科技人才战略统筹实施机制，加强战略目标有机衔接、战略任务一体部署、政策措施协调发力、资源要素统筹配置，推动教育科技人才平台基地协同布局，建设具有全球影响力的教育中心、科学中心、人才中心。在有条件的地方探索建立教育科技人才统筹管理机制。围绕创新需求加快建设国家战略人才力量，加大对战略科学家、科技领军人才、基础研究人才、青年科技人才等的培养和支持力度。加强人才协作，优化人才结构，完善有序流动机制，促进人才区域协调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协同推进创新型人才培养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围绕科技创新、产业发展和国家战略需求协同育人，提高人才自主培养质量。聚焦优势学科和战略急需适度扩大“双一流”建设范围，新建若干所新型研究型大学。健全高等教育学科专业设置调整机制，超常规布局人工智能、集成电路等新兴领域急需学科专业，深入实施基础学科和交叉学科突破计划。强化科研机构、创新平台、企业、科技计划人才集聚培养功能，招生指标向重大科技任务承担单位倾斜。探索拔尖创新人才培养新模式，加强青少年科学素养、批判性思维和创新能力培养，强化科技教育和人文教育协同，加强基础学科、交叉学科和战略急需领域本硕博衔接培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联动推进激励评价机制创新</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以创新能力、质量、实效、贡献为评价导向，深化项目评审、机构评估、人才评价、收入分配改革，激发创新创造动力活力。开展以成果原创性和学术价值为主的基础研究评价，优化国际同行评价。推行以用户和市场反馈为主的应用研究和技术开发评价，将新技术新产品作为业绩考核、职称评定、人才计划支持的重要依据。赋予用人单位更大人才评价自主权，防止简单以称号头衔确定薪酬待遇、配置资源。完善人员编制、薪酬待遇、职称评聘、考核晋升等配套政策，畅通高校、科研院所、企业人才交流通道。健全海外引进人才支持保障机制，建立高技术人才移民制度，引育世界优秀人才。加强科学技术普及，培育创新文化，弘扬科学家精神。加强科技法治、伦理、诚信、安全建设。</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第四篇  深入推进数字中国建设  提升数智化发展水平</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把握数字化、网络化、智能化发展大势，充分发挥我国数据资源丰富、产业体系完备、应用场景广阔优势，激活数据要素潜能，加快数智技术创新，深化拓展“人工智能+”，赋能经济社会发展和治理能力提升，促进生产方式深层次变革和生产力革命性跃迁。</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第十二章  强化算力算法数据高效供给</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统筹推进算力设施建设、模型算法发展和高质量数据资源供给，筑牢数智化发展底座。</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加强算力设施支撑</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统筹布局、有序建设算力设施，推进算力资源规模化、集约化、绿色化、普惠化发展。加快国家枢纽算力设施集群建设，支持有条件地区根据低时延场景需求适度发展算力，推进云边端协同发展。加强高性能高质量智算资源供给，论证建设超大规模智算集群。推进算力设施市场化建设运营，支持通过政府购买算力服务、算力租赁等多种方式满足算力需求，创新发展标准化可扩展的智算云服务。推动绿色电力与算力协同布局。加强全国一体化算力监测调度，提升算力接入和精准匹配能力。加快培育自主可控、协同运行的软硬件生态。提升算力普惠易用水平，降低中小企业用算成本。</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促进模型算法迭代创新</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加快突破人工智能基础理论和核心技术，推进人工智能模型架构改进、算法优化，强化“模芯云用”协同创新。构建任务导向、灵活授权、跨域协同的算法创新组织模式，加快研究更加高效的模型训练和推理方法。鼓励多模态、智能体、具身智能、群体智能等技术创新，探索通用人工智能发展路径。推动通用大模型和行业专用模型同步发展，依托高价值场景推动模型应用落地和迭代升级。建立健全模型能力评估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深化数据资源开发利用</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构建国家数据资源体系，健全数据资源统计调查制度，建立全国数据资源“一本账”。统筹推进政务数据共享、公共数据开放和授权运营，健全公共数据资源开发利用责任制和个人数据合规利用机制，推动企业数据、行业数据开发开放。完善数据标准体系和质量管理体系，加快建设人工智能语料库，面向能源、交通、制造、教育、健康、金融等领域建设高质量数据集，建立人工智能训练数据合理使用制度。加强数据领域关键技术和设备研发应用，培育壮大数据产业，深入开展“数据要素×”行动。建设和运营国家数据基础设施，实施可信数据空间发展行动计划。</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第十三章  全方位推进数智技术赋能</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全面实施“人工智能+”行动，加强人工智能同科技创新、产业发展、文化建设、民生保障、社会治理相结合，抢占人工智能产业应用制高点，全方位赋能千行百业。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促进实体经济和数字经济深度融合</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壮大数字经济核心产业，发展新一代通信技术、云计算、区块链等产业，提升高端芯片、光电子器件、基础软件和工业软件等产业水平，打造具有国际竞争力的数字产业集群。推进国家人工智能创新高地建设，培育智能原生新模式新业态，建设国家人工智能应用中试基地。促进制造业“智改数转网联”，实施智能制造工程和工业互联网创新发展工程，一体推进网络、标识、平台、数据、安全体系建设和规模化应用。推进服务业数智化，发展智慧农业。建设数智化转型促进网络，健全中小企业数智赋能服务体系。推进开源体系建设，完善开源运行机制。</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创造美好数智生活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充分发挥数智技术和数据要素对丰富人民生活、改善民生福祉的作用，拓展教育、医疗、养老、文旅、就业、消费等领域融合应用。丰富智能家居、智慧出行和智慧社区场景，发展智能终端产品和服务，构建数智便民服务圈。促进人工智能助力教育模式变革，有序推动数智技术在辅助诊疗、精准医疗、健康管理、医保服务、养老助残等场景的应用。深入实施全民数字素养与技能提升行动，强化人工智能的就业创造效应。积极探索运用数智技术提高基层医疗服务能力、促进教育公平，助力基本公共服务均等化。</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提高政府治理数智化水平</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深化数智技术全流程应用，发展泛在可及、智慧便捷、公平普惠的数智化政务服务。完善覆盖全国的一体化在线政务服务平台，强化数据“一表通”和公共应用支撑体系建设，推进政务数据跨部门跨层级跨地区共享利用。安全稳妥有序推进政务领域人工智能大模型部署应用，探索构建精准识别需求、主动规划服务、全程智能办理的服务新模式。深化人工智能赋能安全治理，提升感知预警、指挥决策、精准管理和即时响应能力。（见专栏10）</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第十四章  营造健康有序的发展生态</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坚持促进发展和规范管理相统筹，加强数据基础制度规则建设和人工智能治理，营造有益、安全、公平的发展环境。</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健全数据要素基础制度</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建立健全数据产权、流通利用、收益分配、安全治理等数据要素基础制度。完善数据产权结构性分置制度，构建全国统一的数据产权登记体系。建设开放共享安全的全国一体化数据市场，加快完善数据流通交易规则和标准，优化数据交易机构布局，规范发展第三方专业服务机构。建立数据要素价格形成机制，探索兼顾各方利益的数据收益分配机制。完善数据领域法律法规，健全数据采集、存储、流通、使用管理规则。实施数据分类分级管理，提升数据安全保护能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完善科学有效监管机制</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健全新技术新业态安全监管框架，构建技术标准研制调整、技术应用分级管理机制，推进多元协同共治。完善人工智能领域法律法规、政策制度、应用规范、伦理准则，健全算法备案、透明度管理、安全评估等制度，探索建立人工智能生成物权利归属和开发者经营者使用者权责认定规则。推动建立人工智能全生命周期风险管理制度，健全覆盖安全监测、风险预警、应急响应的风险防控体系。推动平台经济创新和健康发展，加强平台企业数据、算法、流量和规则监管，促进平台企业和平台内经营者、劳动者共赢发展。依法打击数据滥用、深度伪造、泄露隐私等行为。</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拓展数智领域国际合作</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构建全球数字合作伙伴关系网络，深化电子商务、数字支付、智慧城市等领域合作，探索建设离岸算力设施、数据跨境流动服务基础设施。积极参与人工智能、数字货币、数据跨境流动等领域国际治理，在数据安全、隐私保护、跨境执法协作等方面达成更多共识，加强国际司法协调和规则互认。推动建立各国广泛参与的人工智能治理框架，共同构建平权、互信、多元、共赢的全球人工智能开放生态，支持全球南方国家加强人工智能能力建设。</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第五篇  建设强大国内市场  加快构建新发展格局</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扩大内需这个战略基点，坚持惠民生和促消费、投资于物和投资于人紧密结合，以新需求引领新供给，以新供给创造新需求，促进消费和投资、供给和需求良性互动，实现供需更高水平动态平衡，增强国内大循环内生动力和可靠性。</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第十五章  大力提振消费</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深入实施提振消费专项行动，增强居民消费能力，改善消费意愿，适应不同群体消费需求扩大优质供给，促进全社会商品和服务消费较快增长。</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夯实居民消费基础</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统筹促就业、增收入、稳预期，加快形成扩大居民消费长效机制。稳定和扩大就业容量，支持企业稳岗扩岗、个人创业就业，积极培育新职业新岗位，拓展数字经济、绿色经济、银发经济等就业新空间。大力促进城乡居民增收，稳步提高最低工资标准，持续改善小微企业和个体工商户经营环境，促进楼市股市健康发展。织密扎牢社会保障网，鼓励支持灵活就业人员、新就业形态人员参加职工保险，规范完善与人均消费支出挂钩的低保标准动态调整机制，增加政府资金用于民生保障支出。</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释放服务消费潜力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以放宽准入、业态融合为重点扩大服务消费，培育服务消费新增长点。提升生活服务消费便利化水平，发展社区嵌入式服务和一刻钟便民生活圈，推进传统商圈焕新，优化养老、托育、家政等领域服务消费体验。提高发展型消费比重，适应多样化个性化服务需求，规范发展教育和培训消费，培育壮大健康消费，积极引进国际优质服务资源。激发改善型消费活力，扩大文体旅游消费，优化营业性演出、体育赛事审批管理，实施冰雪旅游提升计划，发展邮轮游艇、房车露营等休闲消费，积极拓展低空消费。深化商旅文体健融合，打造一批沉浸式互动式消费新场景。</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推动商品消费扩容升级</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强化品牌引领、标准升级、新技术应用，稳定大宗消费，促进消费品更新换代，满足多层次消费品需求。因城施策优化房地产政策，多管齐下稳定预期，充分释放刚性和改善性住房需求潜力，支持老旧房屋适老化改造和智能化升级。深化汽车消费从购买管理向使用管理转变，完善充换电、停车场等基础设施，拓展汽车改装、租赁等后市场消费。支持汽车、电子产品、家电家具等回收体系建设，规范二手商品流通秩序。实施数字消费提升行动，推动智能新产品应用，制定智能家居互联互通标准，推广柔性化定制化消费品生产模式。发展绿色消费，积极推广绿色低碳产品。培育中高端消费新增长点，推动老字号、国货潮牌做精做强，发展周边衍生品消费，积极推进首发经济。</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第四节  持续改善消费环境</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完善促进消费制度机制，清理消费领域不合理限制性措施，建立健全适应消费新业态新模式新场景管理机制。加大直达消费者的普惠政策力度，扩大消费领域金融供给，打造一批带动面广、显示度高的消费新场景。优化入境消费环境，推广离境退税商店，培育国际消费中心城市，推进“购在中国”。落实职工带薪休假制度，鼓励弹性错峰休假，探索推行中小学生春秋假。强化消费者权益保护，畅通消费者投诉和维权渠道，规范网络销售、直播带货等经营活动，健全预付式消费监管模式。加强全口径消费统计，优化服务消费、消费新业态新模式统计监测。</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第十六章  扩大有效投资</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加快构建有效投资内生增长机制，保持投资合理增长，提高投资综合效益，更好发挥投资对支撑国家战略、优化供给结构、满足民生需求的作用。</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提高政府投资效益</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聚焦惠民生、补短板、增动能，优化政府投资结构。统筹“硬投资”和“软建设”，高质量推进国家重大战略实施和重点领域安全能力项目建设，实施一批重大标志性工程项目。加强人力资源开发和人的全面发展投资，在“一老一小”服务、基层医疗卫生、普通高中和优质高等教育扩容、职业技能培训等领域实施一批民生工程，提高民生类政府投资比重。适应人口结构变化和流动趋势，完善基础设施和公共服务设施布局。适应新质生产力发展要求，积极支持新型基础设施和无形资产投资。加强政府投资全过程管理，强化战略规划引领、项目谋划储备论证和事中事后监管，避免过度超前建设和低效无效投资。进一步明确中央和地方投资方向和重点，统筹用好各类政府投资，在工作基础较好的地方探索编制全口径政府投资计划。优化地方政府专项债券管理，完善“自审自发”机制，提高用于项目建设比重并单列。发挥新型政策性金融工具作用。深化投资审批制度改革，优化政府投资项目审批权限，修订政府核准投资项目目录，提升投资审批服务效能。</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激发民间投资活力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平等对待、保护权益、政策协同，增强市场主导的有效投资增长动力，提高民间投资比重。完善民营企业参与重大项目建设长效机制，鼓励支持民营企业参与铁路、核电、水电、供水等领域项目建设，推动具备条件的项目进一步提高民营企业持股比例。鼓励民营企业加大科技创新和产业升级投资力度，推动新兴领域应用场景向民营企业开放。依法保障民营企业投资运营合法权益，平等保障用地、融资等要素需求。发挥政府投资基金引导带动作用，加强布局规划和投向指导评价，健全“投融管退”机制。</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促进投资消费良性循环</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聚焦投资消费结合点，以有效投资带动消费能力和意愿提升，以消费升级牵引投资方向优化，强化扩内需政策综合效应。支持就业增收带动能力强的行业扩大投资，鼓励消费基础设施和消费服务功能提升类设施建设，加大对健康养老、体育健身、休闲娱乐等领域消费场景建设和设施提档升级的投资力度。因地制宜推动交通枢纽、产业集聚区等拓展消费功能。推动县域商业提质增效，加强物流仓储、农村寄递等设施补短板。</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第十七章  纵深推进全国统一大市场建设</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坚决破除阻碍全国统一大市场建设卡点堵点，破除地方保护和市场分割，促进商品要素资源在更大范围内顺畅流动。</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完善全国统一大市场基础制度规则</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推进适应全国统一大市场要求的产权保护、市场准入、信息披露、社会信用、兼并重组、市场退出等制度建设。依法平等长久保护各种所有制经济产权，对侵犯各种所有制经济产权和合法利益的行为实行同责同罪同罚。加强知识产权保护和运用，制定重点领域商业秘密保护规则指引。完善市场准入制度，动态修订市场准入负面清单，严格落实“全国一张清单”管理要求。完善企业质量、安全、环境等信息披露制度规则。强化全国信用信息共享平台功能，深入推进信用信息归集共享和信用应用拓展，完善守信激励、失信惩戒和信用修复机制。健全企业破产制度，探索建立覆盖所有经营主体的简易退出机制。完善有利于统一大市场建设的统计、财税、考核制度，推广经营主体活动发生地统计，优化企业总部和分支机构、生产地和消费地利益分享。制定全国统一大市场建设条例。</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维护公平竞争市场秩序</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推动市场监管规则完善、基准统一、能力提升，形成优质优价、良性竞争的市场秩序。制定重点领域公平竞争合规指引，强化公平竞争审查刚性约束，消除要素获取、资质认定、招标投标、政府采购等方面壁垒。规范地方政府经济促进行为，制定地方政府招商引资鼓励和禁止事项清单，加强招商引资信息披露。完善妨碍建设全国统一大市场事项清单动态更新和通报问责制度。强化反垄断和反不正当竞争执法司法，制定重点领域反垄断指南指引。完善协调统一的国家标准体系，扩大强制性国家标准覆盖面，推进新兴产业标准建设，提升标准国际化水平。推进检验检测认证资源共享、资质互认和结果通用。统一市场监管执法，完善行政裁量权基准制度，推进行政处罚和刑事处罚双向衔接。完善行政复议体制机制。健全综合执法体制机制，优化监管事项层级设置，提高基层执法效能。</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促进市场设施高标准联通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推进流通物流、市场信息、交易平台等设施互联互通和规则衔接。健全高效顺畅的现代流通体系，完善国家物流枢纽网络，依托现代流通战略支点城市构建若干重要商品骨干流通走廊，支持有条件的地区建设大宗商品资源配置枢纽，健全一体衔接的流通规则和标准，降低全社会物流成本。加强多式联运设施、标准建设和信息共享，大力推进“一单制”、“一箱制”发展，促进集装箱和大宗物资铁水联运。完善市场信息交互渠道，推动构建全链条信息信任和应用机制。建立健全统一规范、信息共享的招标投标和政府、事业单位、国有企业采购等公共资源交易平台体系，推进人工智能应用和大数据监管，实现项目全流程公开管理。</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第六篇  加快构建高水平社会主义市场经济体制  增强高质量发展动力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和完善社会主义基本经济制度，更好发挥经济体制改革牵引作用，建设高标准市场体系，提升宏观经济治理效能，促进资源配置效率最优化和效益最大化，激发全社会内生动力和创新活力，确保高质量发展行稳致远。</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第十八章  充分激发各类经营主体活力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坚持和落实“两个毫不动摇”，促进各种所有制经济优势互补、共同发展。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深化国资国企改革</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做强做优做大国有企业和国有资本，增强国有企业核心功能、提升核心竞争力。制定实施国有经济布局优化和结构调整指引目录，推动国有资本向关系国家安全、国民经济命脉的重要行业和关键领域集中，向关系国计民生的公共服务、应急能力、公益性领域等集中，向前瞻性战略性新兴产业集中，加强战略性重组和专业化整合。深化国有企业分类改革，进一步明晰不同类型国有企业功能定位，加强主责主业管理，建立国有企业履行战略使命评价制度，构建分类考核的治理体制。推动国有企业完善市场化经营机制，提升价值创造能力。健全国有企业推进原始创新制度安排。完善国资监管体制，更好发挥国有资本投资、运营公司作用。健全国有经济和国有企业增加值核算制度。支持国有企业和民营企业以市场化方式规范开展股权合作、战略协作、资源整合。</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发展壮大民营经济</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落实民营经济促进法，完善配套法规政策制度体系，从法律和制度上保障平等使用生产要素、公平参与市场竞争、有效保护合法权益。持续推进基础设施竞争性领域向民营企业公平开放。支持有能力的民营企业牵头承担国家重大技术攻关任务，推进国家重大科研基础设施和公共研发平台进一步向民营企业开放。完善民营企业融资支持政策，发挥全国一体化融资信用服务平台网络作用，健全信用状况综合评价体系和增信制度。支持中小企业和个体工商户发展，推动大中小企业协同融通发展。创新发展“晋江经验”，健全民营经济发展综合服务体系，完善政企常态化沟通交流和问题解决机制。引导民营企业完善治理结构和管理制度，促进民营经济健康发展和民营经济人士健康成长。健全民营经济统计监测制度。</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积极营造一流营商环境</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持续推进营商环境改进提升，打造市场化、法治化、国际化一流营商环境。完善为企服务体系，健全“高效办成一件事”重点事项清单管理和常态化推进机制，推行惠企政策全程网办、直达快享，推广信用承诺制。深化注册资本认缴登记制度改革，持续精简涉企经营许可事项。健全规范涉企执法长效机制，防止和纠正违规异地执法、趋利性执法，推进“综合查一次”等联合执法方式。强化产权执法司法保护，加强对查封、扣押、冻结等强制措施的司法监督。建立健全清理拖欠企业账款长效机制，畅通政府违约失信投诉渠道。完善中国特色现代企业制度，弘扬企业家精神，加快建设更多世界一流企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第十九章  加快完善要素市场化配置体制机制</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深化要素市场化改革，畅通要素有序流动渠道，统筹增量优化和存量盘活，促进各类要素资源高效配置。</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健全要素市场制度和规则</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完善要素市场体系，扩大要素市场化配置范围。深化土地制度改革，建立健全城乡统一的建设用地市场。健全投资和融资相协调的资本市场功能，优化发行上市、信息披露、并购重组、退市等基础制度，提高上市公司质量，建立增强内在稳定性长效机制。畅通劳动力和人才社会性流动渠道，逐步打破户籍、社保、职称、档案等方面制度性障碍。培育全国一体化技术市场和数据市场。深化拓展要素市场化配置综合改革试点，加快形成一批可复制可推广的制度成果。</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完善资源要素价格形成机制</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完善主要由市场供求关系决定价格机制，加强和改进价格治理。加快健全适应新型能源体系的价格机制，分品种、有节奏推进各类电源上网电价市场化改革，完善成品油定价机制，深化天然气价格改革，完善煤炭价格区间调控政策，加强网络型自然垄断环节价格监管。深化水利工程供水价格改革。健全促进可持续发展的公用事业价格机制，优化居民阶梯水价、电价、气价制度。深化公共服务价格改革，完善养老等服务收费政策。探索构建新型生产要素价格形成机制。</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盘活利用存量资源</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完善并购、破产、置换等政策，盘活用好低效用地、闲置房产、存量基础设施。编制宏观资产负债表，全面摸清存量资源资产底数，优化资产负债结构。深化扩大低效用地再开发试点，完善促进盘活存量用地的规划管控、土地供应和税费政策，加快发展建设用地二级市场。推进土地混合开发、空间复合利用和土地用途依法合理转换，完善工商业用地使用权续期法律法规，依法稳妥推进续期工作。推进全国行政事业单位存量国有资产盘活共享，健全产业园区存量盘活和高质量发展机制，完善资产估值等配套政策，引入社会力量提升盘活利用效率，规范市场化运作流程。推动司法判决执行与破产制度有机衔接，依法有效盘活被查封冻结财产。积极推动基础设施领域不动产投资信托基金（REITs）常态化推荐发行。</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第二十章  健全宏观经济治理体系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提高宏观调控和政府治理水平，促进形成更多由内需主导、消费拉动、内生增长的经济发展模式。</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完善宏观调控制度体系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强化国家发展规划战略导向作用，加强财政、货币政策协同，发挥好产业、价格、就业、消费、投资、贸易、区域、环保、监管等政策作用，增强宏观政策取向一致性和有效性。强化逆周期和跨周期调节，实施更加积极的宏观政策，合理确定政府债务规模，保持流动性充裕，持续稳增长、稳就业、稳预期。完善宏观调控目标体系，统筹短期目标和中长期目标、总量平衡和结构调整，强化年度计划与国家发展规划衔接。健全预期管理机制，将预期管理纳入宏观经济治理全过程。加强经济监测预测预警，充实完善政策工具箱，科学把握政策力度和出台时机，强化政策实施效果评价。探索实行国家宏观资产负债表管理。优化高质量发展综合绩效考核。</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健全现代财政制度</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深化财税体制改革，发挥积极财政政策作用，加强财政科学管理，增强财政可持续性。强化对预算编制和财政政策的宏观指导，发挥中期财政规划跨年度预算平衡作用，强化国家重大战略任务和基本民生财力保障。加强财政资源和预算统筹，加大政府性基金预算、国有资本经营预算与一般公共预算统筹力度，完善国有资本经营预算制度，合理提高国有资本收益收取比例，把依托行政权力、政府信用、国有资源资产获取的收入全部纳入政府预算管理。优化财政支出结构，合理提高公共服务支出占财政支出比重。深化零基预算改革，统一预算分配权，健全支出标准体系和动态调整机制，加强预算绩效管理和执行监督。优化税制结构，健全有利于高质量发展、社会公平、市场统一的税收制度，保持合理的宏观税负水平。提高直接税比重，完善综合和分类相结合的个人所得税制度，逐步扩大综合征收范围，健全经营所得、资本所得、财产所得税收政策。完善增值税留抵退税政策和抵扣链条，优化共享税分享比例。研究同新业态相适应的税收制度。健全地方税体系，推进消费税征收环节后移并稳步下划地方，增加地方自主财力。适当加强中央事权、提高中央财政支出比重，减少委托地方代行的中央财政事权。完善财政转移支付体系，优化财政转移支付结构。全面落实税收法定原则，规范税收优惠政策，加强财会监督。加快构建同高质量发展相适应的政府债务管理长效机制。</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加快建设金融强国</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防风险、强监管、促高质量发展，加快建设中国特色现代金融体系。完善中央银行制度，构建科学稳健的货币政策体系，完善基础货币投放机制，健全市场化利率形成、调控和传导机制，保持社会融资规模、货币供应量增长同经济增长、价格总水平预期目标相匹配。建立覆盖全面的宏观审慎管理体系，将更多金融活动、金融市场等纳入宏观审慎政策框架。增强人民币汇率弹性，保持在合理均衡水平上基本稳定。提升金融服务实体经济质效，大力发展科技金融、绿色金融、普惠金融、养老金融、数字金融，加强对重大战略、重点领域和薄弱环节的优质金融服务。完善结构性货币政策工具体系。持续深化资本市场投融资综合改革，增强资本市场制度包容性、适应性，提高直接融资比重。发展多元股权融资，加快多层次债券市场建设，稳步发展期货、衍生品和资产证券化，加强交易监管和投资者保护。壮大耐心资本，完善支持中长期资金入市政策体系。优化金融机构体系，推动各类金融机构专注主业、完善治理、错位发展，支持国有大型金融机构提升综合服务水平，严格中小金融机构准入标准和监管要求，培育一流投资银行和投资机构。建设安全高效的金融基础设施。稳步发展数字人民币。加快建设上海国际金融中心。全面加强金融监管，构建风险防范化解体系，保障金融稳健运行。</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第七篇  扩大高水平对外开放  开创合作共赢新局面</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开放合作、互利共赢，稳步扩大制度型开放，建设更高水平开放型经济新体制，推动共建“一带一路”高质量发展，拓展国际循环，以开放促改革促发展，倡导平等有序的世界多极化、普惠包容的经济全球化，与世界各国共享机遇、共同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第二十一章  积极扩大自主开放</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对接国际高标准经贸规则扩大开放，促进国内国际规则、规制、管理、标准相通相容，营造透明稳定可预期的制度环境。</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有序扩大开放领域和区域</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以服务业为重点扩大市场准入和开放领域，实施更大范围、更宽领域、更深层次开放。推动电信、互联网、教育、文化、医疗等领域有序扩大开放，稳妥实施增值电信、生物技术、外商独资医院等开放试点，推进服务业扩大开放综合试点示范。缩减外资准入负面清单，加强负面清单修订与开放试点联动。稳慎拓展金融市场互联互通，优化合格境外投资者制度，扩大可投资品种范围，有序推进符合条件的企业跨境双向直接融资，支持股权投资基金跨境投资。推进数据高效便利安全跨境流动。优化签证和停居留政策，提升境外人员入境数字化服务便利性。推进人民币国际化，拓展人民币在国际贸易和投融资中的使用，提升资本项目开放水平，建设自主可控的人民币跨境支付体系，发展人民币离岸市场。在有条件的领域率先实施高标准经贸协定开放举措，对最不发达国家和合作潜力大的经贸伙伴，扩大单边开放领域和区域。</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构建与高标准经贸规则相衔接的制度和监管体系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推进高水平开放和深层次改革高效联动，加快推动重点领域立法修法、政策调整和标准修订。健全与国际规则相衔接的知识产权保护机制，探索扩大商标保护范围，优化版权保护机制，拓展知识产权纠纷解决渠道。推动重点产品能效、水效、碳足迹等规则标准国际互认，推进企业气候信息、环境信息依法披露与自愿披露。探索完善适合我国国情、符合国际惯例的劳动保护机制。加快政府采购制度改革，全面落实公平竞争原则。率先试行世界贸易组织电子商务协定、投资便利化协定，提高跨境支付结算效率和单证电子化标准化水平。</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优化区域开放布局</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打造形态多样的开放高地，加快形成陆海内外联动、东西双向互济的全面开放格局。高标准建设海南自由贸易港，高水平实施全岛封关运作，持续提升贸易投资和要素流动等重点领域开放水平，逐步构建与高水平自由贸易港相适应的政策制度体系。实施自由贸易试验区提升战略，开展更大力度制度型开放试验，提升创新引领发展能级。统筹布局建设科技创新、服务贸易、产业发展等重大开放合作平台，支持功能相近、区位相邻的平台优化整合，推动国家级新区、开发区管理制度和运营模式创新，促进综合保税区转型升级，推进沿边重点开发开放试验区、产业协作园区、沿边临港产业园区和边（跨）境经济合作区等建设。（见专栏11）</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第二十二章  提升贸易投资合作质量和水平</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强化进口和出口协调、货物和服务并重，统筹吸引外资和境外投资，塑造国际贸易和双向投资合作新优势。</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推动贸易创新发展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加快建设贸易强国，促进外贸提质增效，推动进出口平衡发展。优化升级货物贸易，推动市场多元化，拓展中间品贸易，促进加工贸易提档升级。大力发展服务贸易，完善跨境服务贸易负面清单管理制度，放宽跨境交付、自然人移动等跨境服务限制，鼓励服务出口，增强运输、旅行等服务国际竞争力，发展知识密集型服务贸易，积极发展服务外包，提升服务贸易标准化水平。合理调整进口关税税率，修订鼓励进口技术、产品和服务目录，扩大国内急需的先进技术设备、优质农产品、生产性服务等进口。创新发展数字贸易、绿色贸易，有序扩大数字领域开放。支持跨境电商等新业态新模式发展，优化海外仓布局和功能，完善保税维修和再制造、新型离岸贸易等政策环境。推进通关、税务、外汇等监管创新，推动外贸产品标准与合格评定、检验检疫国际合作。提升贸易促进平台功能，加大出口信贷和信用保险支持，持续办好进博会、广交会、服贸会等重大展会。推动内外贸一体化发展，深化内外贸标准认证改革。强化贸易风险防控和摩擦应对，丰富贸易调整援助、贸易救济等政策工具，完善出口管制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更大力度吸引和利用外资</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持续优化外商投资环境，健全外商投资服务保障体系，塑造吸引外资新优势。全面落实外资企业国民待遇，清理与外商投资法不符的文件法规，落实好“准入又准营”。发挥标志性外资项目示范效应，引导外资更多投向先进制造、现代服务、高新技术、节能环保等领域，支持参与产业链上下游配套协作，大力吸引外资企业在华设立地区总部、研发中心。促进外资境内再投资。精心打造“投资中国”品牌。拓展利用外资方式，完善外资并购管理，拓宽外资投资证券市场渠道。高质量实施外商投资安全审查。完善全口径外债监管体系。健全外商投资统计、信息报告制度，加强信息共享。</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促进国际产业与投资合作</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有效实施对外投资管理，健全海外综合服务体系，促进贸易投资一体化，引导产业链供应链合理有序跨境布局。进一步引导和规范企业境外投资方向，支持有条件的企业开展互利共赢的境外投资合作，鼓励互联网平台、人工智能等新兴产业企业拓展海外应用场景。支持咨询评估、法律服务、会计审计、信用评级、调解仲裁等专业服务机构拓展海外服务网络，健全涉外知识产权保护体系。加强我国公民、法人海外合法利益保护，建立诉求响应和保护救济制度，健全海外利益保护体系。发挥境外经贸合作区作用，促进与境内园区协同发展。加强境外投资安全审查。健全境外投资风险监测、防控、处置机制和法律法规，推动企业提升风险防控和合规经营能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第二十三章  高质量共建“一带一路”</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坚持共商共建共享、开放绿色廉洁、高标准惠民生可持续的指导原则，完善推进高质量共建“一带一路”机制，深化基础设施“硬联通”、规则标准“软联通”、同共建国家人民“心联通”。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深化发展战略对接</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加强与共建国家、国际组织政策沟通和战略对接，强化合作规划统筹管理，加强实施协调和评估优化。发挥“一带一路”国际合作高峰论坛引领作用，强化能源、税收、减贫、智库、媒体等领域合作平台建设。深化与共建国家治国理政经验交流，增进企业家、专家学者、青年等群体交流。统筹多双边合作，创新“一带一路”合作模式，巩固已有合作成果，拓展共赢发展空间。</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完善立体互联互通网络布局</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深化重要经济走廊和支点港口合作，畅通陆海天网多元通道。提升中欧（亚）班列发展水平，积极参与跨里海国际运输走廊建设。高质量建设中吉乌铁路、匈塞铁路等项目。推进“丝路海运”港航贸一体化发展，推动空中丝绸之路建设提质增效，加强空间信息走廊建设合作。积极推进中国标准海外应用。深入推进新疆、福建“一带一路”核心区建设。</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全面提升务实合作质效</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持续扩大与共建国家贸易投资合作，高标准建设“丝路电商”合作先行区。拓展绿色发展、人工智能、数字经济、卫生健康、旅游、农业、气象、北斗应用等领域合作新空间。统筹推进重大标志性工程和“小而美”民生项目建设。完善多元化、可持续、风险可控的投融资体系，积极支持亚洲基础设施投资银行、新开发银行、丝路基金等发挥作用。拓展与共建国家文化、教育、考古、体育等领域人文交流渠道，高质量实施“一带一路”科技创新行动计划。提升风险防控能力，深入推进廉洁丝绸之路建设，推动共建“一带一路”更有序、更规范、更安全、更可持续地高质量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第二十四章  推动构建人类命运共同体</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落实全球发展倡议、全球安全倡议、全球文明倡议、全球治理倡议，积极推进中国特色大国外交，为构建人类命运共同体作出中国贡献。</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积极参与和引领全球经济治理</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推进全球经济金融治理改革，推动构建和维护公平公正、开放包容、合作共赢的国际经济秩序。维护以世界贸易组织为核心的多边贸易体制，全面深入参与世界贸易组织改革，坚决反对保护主义、滥施关税等做法。扩大面向全球的高标准自由贸易区网络，高质量实施区域全面经济伙伴关系协定并推动扩员和审议进程，推动中国—东盟自贸区3.0版落地实施，积极推动加入全面与进步跨太平洋伙伴关系协定、数字经济伙伴关系协定，推动商签更多区域和双边贸易投资协定。积极提出人工智能、数字经济、绿色低碳、外层空间等新兴领域国际规则的中国方案。强化国际宏观经济政策协调，推动二十国集团发挥国际经济合作主要论坛作用，推动扩大金砖国家、上海合作组织等合作机制影响力，积极参与亚太经合组织合作、推进亚太自由贸易区建设。</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推动构建新型国际关系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倡导践行真正的多边主义，坚定维护以联合国为核心的国际体系、以国际法为基础的国际秩序、以联合国宪章宗旨和原则为基础的国际关系基本准则，拓展全球伙伴关系网络，引领国际秩序朝着更加公正合理的方向发展。深化周边发展融合，强化共同安全，巩固战略互信，构建周边命运共同体。促进大国协调和良性互动，维护大国关系总体稳定。深化同发展中国家团结合作，支持全球南方联合自强。打造多层级多领域文明对话交流机制和平台，共同构建全球文明对话合作网络。弘扬全人类共同价值，推动建设持久和平、普遍安全、共同繁荣、开放包容、清洁美丽的世界。</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提供更多国际公共产品</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发挥负责任大国作用，在应对全球气候变化、跨国犯罪、网络安全、重大传染性疾病、恐怖主义等全球性问题上发挥更多积极作用。坚决反对霸权霸道霸凌行径，捍卫国际公平正义，维护各国人民共同利益。积极参与全球安全规则制定，建设性参与国际和地区热点问题政治解决，加强粮食、能源、数据、生物、陆海通道、反恐怖等领域安全国际合作，推动完善全球安全治理。促进全球减贫合作，加强援外体系建设和全链条管理，加大援外力度。落实联合国2030年可持续发展议程。</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第八篇  加快农业农村现代化  扎实推进乡村全面振兴</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坚持农业农村优先发展，坚持城乡融合发展，健全推动乡村全面振兴长效机制，大力发展现代农业，推动农村基本具备现代生活条件，持续巩固拓展脱贫攻坚成果，缩小城乡发展差距，加快建设农业强国。</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第二十五章  提升农业综合生产能力和质量效益</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坚持产量产能、生产生态、增产增收一起抓，推进产需衔接、结构优化、品质提升，提高农业劳动生产率和科技进步贡献率。</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加强粮食等重要农产品供给保障</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深入实施藏粮于地、藏粮于技战略，加力实施新一轮千亿斤粮食产能提升行动，稳定稻谷、小麦生产，提升玉米、大豆产能，推进粮油等主要作物大面积单产提升。适应供需形势变化，优化农业生产结构，稳定发展棉油糖胶等重要农产品和“菜篮子”产品生产，发展特色农业。健全耕地数量、质量、生态“三位一体”保护制度体系，严格占补平衡管理，完善补充耕地质量验收机制，统筹农用地布局优化。高质量推进高标准农田建设和管护，完善农田灌排体系，加强黑土地保护和酸化耕地治理，稳步推进盐碱地综合利用。增强农业防灾减灾能力。开展新一轮农业资源区划工作。</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强化农业科技和装备支撑</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统筹发展科技农业、绿色农业、质量农业、品牌农业，把农业建成现代化大产业。深入实施种业振兴行动，加强种质资源保护利用，健全商业化育种体系，强化育种联合攻关，培育高产优质、抗逆广适新品种，提升种源安全保障水平。实施农机装备高质量发展行动，促进良田良种良机良法集成增效，农作物耕种收综合机械化率提高到80%以上。围绕核心种源、农机装备、农业节水等加强关键核心技术攻关，构建梯次分明、分工协作、适度竞争的农业科技创新体系，培育农业科技领军企业。健全公益性和经营性相结合的农业科技推广体系。积极推广地理标志产品和品牌。</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构建多元化食物供给体系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农林牧渔并举，全方位多途径开发食物资源。加强生猪产能综合调控，推进肉牛肉羊、奶牛产业提质增效，加快草原畜牧业转型升级。加快发展饲草产业，扩大青贮饲料生产。发展现代设施农业，推进节能宜机高效设施种植和集约化养殖。科学开发江河湖海和森林食物资源，发展高质量水产养殖，稳步扩大木本粮油生产，发展林下经济，壮大林草产业，提升机械化水平。积极发展合成生物技术，拓展新型蛋白来源。</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第二十六章  推进宜居宜业和美乡村建设</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学习运用“千万工程”经验，分类有序、片区化推进乡村振兴，深入实施乡村建设行动，逐步提高农村基础设施完备度、公共服务便利度、人居环境舒适度。</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创造乡村优质生活空间</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以县域为单元科学规划基础设施和公共服务布局，推动县域基础设施一体化规划建设管护。统筹优化村镇布局，引导人口、产业适度集聚，因地制宜完善乡村建设实施机制，合理安排建设重点和时序。协同推进县域国土空间治理，稳步开展全域土地综合整治，分类保障乡村发展用地。扎实推进农村道路、供水、污水治理、能源、物流、信息等设施建设和维护。持续推进农村危房改造。改善县域普通高中和寄宿制学校办学条件，以医护人员下沉为重点推进紧密型县域医共体建设，健全县乡村三级养老服务网络，支持面向边远地区农村提供形式灵活的基本公共服务，统筹利用农村存量设施资源。持续整治提升农村人居环境，以钉钉子精神解决好农村改厕、垃圾围村等问题。</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发展县域富民产业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发展各具特色的县域经济，推动农村一二三产业深度融合，因地制宜培育农业强县、工业大县、旅游名县，推动兴业、强县、富民一体发展。推进农产品加工业转型升级，加强农产品市场和流通网络建设，健全仓储保鲜和冷链物流体系。开发农业多种功能，培育壮大乡村特色产业和乡村休闲旅游、文化体验、农村电商等新产业新业态。规范发展农民合作社，培育农业产业化龙头企业，完善联农带农机制，推动新型农业经营主体扶持政策同带动农户增收挂钩，促进农民稳定增收。</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加强和改进乡村治理</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深入推进抓党建促乡村全面振兴，健全县乡村三级治理体系，选优配强村“两委”班子特别是带头人队伍，优化驻村第一书记和工作队选派管理机制。推进村民自治组织规范化建设，完善村务公开和民主议事制度，支持农民群众多渠道参与村级议事协商。加强新时代农村精神文明建设，繁荣发展乡村文化，实施文明乡风建设工程。持续整治农村高额彩礼。保护传承乡村文化遗产，加强乡土建筑和传统村落保护，赓续农耕文明。（见专栏12）</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第二十七章  提高强农惠农富农政策效能</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健全农业农村优先发展的体制机制和政策体系，推动城乡要素双向流动，增强农业农村发展活力。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加强农业农村投入保障</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健全财政优先保障、金融重点倾斜、社会积极参与的多元投入格局，确保乡村振兴投入力度不断增强。优先保障农业农村领域一般公共预算投入，提升财政支农政策效能和资金效益。健全种粮农民收益保障机制，强化价格、补贴、保险等政策支持和协同，保护和调动农民务农种粮积极性。加大粮食主产区利益补偿力度，实施产销区省际横向利益补偿，完善产粮大县奖补制度。健全适合农业农村特点的金融服务体系，发展多层次农业保险，支持发展特色农产品保险。</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深化农业农村改革</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巩固和完善农村基本经营制度，稳定土地承包关系，稳步推进第二轮土地承包到期后再延长30年试点，健全承包地经营权流转价格形成机制和管理服务制度。发展农业适度规模经营，提高新型农业经营主体发展质量，完善便捷高效的农业社会化服务体系，促进小农户和现代农业发展有机衔接。深化供销合作社综合改革。节约集约利用农村集体经营性建设用地，有序推进入市改革，健全土地增值收益分配机制。加快完成房地一体宅基地确权登记颁证，加强农村宅基地规范管理，依法盘活用好闲置土地和房屋。深化农村集体产权制度改革，支持发展新型农村集体经济。加强农村产权交易市场规范化建设。激励各类人才下乡服务和创业就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完善常态化帮扶机制</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统筹建立常态化防止返贫致贫机制，坚持精准帮扶，完善兜底式保障，强化产业、就业等开发式帮扶，增强内生动力，分层分类帮扶欠发达地区，确保不发生规模性返贫致贫。优化现有国家乡村振兴重点帮扶县范围，完善支持政策和激励约束机制。优化完善东西部协作、对口合作等机制，持续做好中央单位定点帮扶，深入开展干部人才“组团式”帮扶。聚焦大型特大型安置区，加强易地搬迁后续扶持。推进市场化导向的消费帮扶。加强帮扶项目资产规范管理。加力扩围实施以工代赈。统筹推进灾害避险搬迁。</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第九篇  优化区域经济布局  促进区域协调发展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发挥区域协调发展战略、区域重大战略、主体功能区战略、新型城镇化战略叠加效应，统筹推进区域内战略深化实施和区域间联动发展，优化重大生产力布局，发挥重点区域增长极作用，构建优势互补、高质量发展的区域经济布局和国土空间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第二十八章  增强区域发展协调性</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坚持一以贯之落实区域发展战略，因时因地制宜、分区分类施策，鼓励各地发挥比较优势、各展所长，促进东中西、南北方协调发展，在发展中促进相对平衡。</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提升东中西和东北地区协调发展水平</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聚焦大保护、大开放、高质量发展扎实推动西部大开发形成新格局，立足功能定位、资源禀赋和产业基础，做强做大特色优势产业，实施一批生态屏障建设重大工程，以开放通道、枢纽节点、平台载体建设促进对内对外开放。立足维护国家国防、粮食、生态、能源、产业安全推动东北全面振兴取得新突破，完善能源通道和交通网络，持续巩固提高粮食综合生产能力，推动科教、农业、生态等资源优势转化为发展成效，加快推进向北开放。开创中部地区加快崛起新局面，强化粮食和能源原材料保障能力，做优做强现代装备制造及高技术产业，建设综合交通运输枢纽体系，推进内陆地区高水平开放。鼓励东部地区加快推进现代化，加强原创性、颠覆性科技创新，引领建设具有国际竞争力的先进制造业集群和现代服务业高地。</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巩固提升京津冀、长三角、粤港澳大湾区动力源作用</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深入推进京津冀协同发展，形成更加紧密的全方位协同发展格局。积极稳妥有序疏解北京非首都功能，持续推动标志性疏解项目和政策落地，优化提升首都功能，建设现代化首都都市圈。高标准高质量推进雄安新区建设现代化城市，完善管理体制。提升北京城市副中心综合服务水平，提高天津滨海新区综合承载能力。深入推进长三角一体化发展，完善创新链产业链、基础设施、生态环保等一体化发展体制机制。加快上海“五个中心”建设，高标准建设长三角生态绿色一体化发展示范区，提升虹桥国际开放枢纽辐射能级，支持上海与苏州重点领域同城化发展，深化沪苏浙与皖北地区城市结对合作。深化粤港澳大湾区建设，强化科技创新、经济发展、公共服务等方面规则衔接、机制对接，加强法治保障，充分发挥重大合作平台先行先试作用，加快建设国际一流湾区。</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推进长江经济带发展、黄河流域生态保护和高质量发展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共抓大保护、不搞大开发，坚持生态优先、绿色发展，持续推进长江经济带高质量发展，强化重点领域污染治理和重要湖泊保护治理，坚定不移推进长江十年禁渔，有序提高沿线城市生活污水收集处理水平，推动长江干流稳定保持Ⅱ类水质、主要支流基本达到Ⅱ类水质。畅通长江黄金水道，加强岸线资源高水平保护和合理高效利用，推进沿江产业绿色转型升级，促进上中下游协同联动发展。全面推动黄河流域生态保护和高质量发展，持续完善大保护大协同格局，系统推进上游水源涵养、中游水土保持、下游湿地保护和生态治理，加大湟水河、渭河等重要支流综合治理力度，全力打好深度节水控水攻坚战。深化黄河流域生态保护和高质量发展先行区建设。</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第四节  支持特殊类型地区振兴发展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加快革命老区振兴发展，传承红色基因，发展特色产业，支持革命老区发挥比较优势培育内生动力，深化革命老区重点城市对口合作。分类精准支持边境地区发展，统筹推动守边固边、兴边富民、强边固防、沿边开放，促进边境贸易创新发展，加大边境地区教育医疗等投入，实施更有力的护边补助政策，扎实推进沿边重点城镇和村庄建设，支持口岸城市发展，推动边疆地区高质量发展。支持生态退化地区开展生态修复和绿色发展。推进老工业基地、资源型地区转型发展，支持资源枯竭城市发展接续替代产业，推动采煤沉陷区、独立工矿区综合治理和整合利用。</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第二十九章  促进区域联动发展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以跨区域跨流域大通道为基础，以城市群联动发展为载体，以体制机制协同为保障，推动区域间互融互促、互利共赢，拓展国内大循环空间。</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完善区域联动发展布局</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强化区域基础设施互联互通，推进长江综合运输通道和沿边沿海通道等跨区域跨流域大通道建设，发挥西电东送、东数西算等跨区域重大工程支撑作用。加强城市群一体化和重点城市群协调联动，促进区域创新链产业链高效协作。支持京津冀、长三角、粤港澳大湾区打造世界级城市群。提升成渝地区双城经济圈发展能级，打造高质量发展重要增长极。推动长江中游城市群等加快发展。培育发展若干区域性中心城市，支持省际毗邻地区合作发展，更好发挥跨区域联结型地区支撑带动作用。支持经济大省挑大梁，加强改革攻坚、政策赋能、要素保障，在推进中国式现代化中走在前作示范。</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健全跨区域合作机制</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深化跨行政区合作，健全区域间规划统筹、产业协作、利益共享等机制。加强区域发展战略统筹实施和规划衔接，协同推进跨区域平台和重大工程项目建设。完善产业转移协作机制和平台体系，探索产业转出地和承接地税收、用地和碳排放指标等利益分享机制，促进重点产业在国内有序转移。支持城市群都市圈范围内依规划跨省统筹建设用地指标。探索区域协同立法。支持流域上下游、资源输出地输入地之间开展利益补偿，因地制宜拓展流域经济等模式。加快推动民族地区高质量发展，深化各民族交往交流交融，完善对口援疆援藏工作机制，加大对南疆地区倾斜支持力度。</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第三十章  优化国土空间发展格局</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坚持宜水则水、宜山则山，宜粮则粮、宜农则农，宜工则工、宜商则商，健全主体功能区制度体系，提高政策针对性和精准性，推动形成主体功能约束有效、国土开发有序的空间发展格局。</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强化主体功能区战略实施</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保持城市化地区、农产品主产区、重点生态功能区格局总体稳定，适当优化部分地区主体功能，促进城市化地区增强经济人口集聚承载能力、农产品主产区提升农业综合生产能力、重点生态功能区改善自然生态系统质量。细化明确特殊功能区，在主体功能基础上因地制宜叠加维护国家安全、保障能源资源供给、保护传承文化、强化海洋资源保护利用等功能。完善不同主体功能区差异化支持政策和考核评价机制，合理配置新增建设用地、水资源等指标。</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优化国土空间管控</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完善国土空间规划体系，依据国家发展规划、结合国土空间规划评估结果，动态完善国土空间规划，发挥对国土空间开发保护的基础作用。落实优化耕地和永久基本农田、生态保护红线、城镇开发边界等控制线以及各类管控边界，围绕国家重大战略实施合理优化管控目标。提高永久基本农田质量，有序推动不稳定耕地、灾毁耕地等退出并及时补足，研究完善生态保护红线内人为活动差异化管控方式和战略性矿产差别化勘查开采政策，根据人口流动和产业发展趋势优化城镇开发边界。统筹利用近岸、深远海空间。</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加强国土空间协同治理</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建立健全国土空间用途管制和规划许可制度，分区分类实施差别化、精细化用途管制。健全国家重大项目用地保障机制，发挥自然资源管理和国土空间规划“一张图”作用。赋予省级政府统筹建设用地更大自主权，探索实施建设用地总量按规划期管控模式，允许在不突破省域建设用地总量前提下统筹安排市县建设用地、差异化配置增存比例，实行统筹存量和增量综合供地。推动用地审查与规划许可有机融合、用地用海用林用草联动审批。</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第三十一章  深入推进以人为本的新型城镇化</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持续提高城镇化质量，促进农业转移人口全面融入城市，优化城市规模结构，推动城市内涵式发展，促进大中小城市和小城镇协调发展、集约紧凑布局。</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科学有序推进农业转移人口市民化</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积极稳妥、分类推进，统筹深化户籍制度改革和常住地提供基本公共服务。完善超大特大城市积分落户政策，全面设立街道或社区公共户口，拓宽稳定就业居住的农业转移人口落户渠道。探索建立全国统一的人口管理制度，逐步实现由常住地登记户口。稳步提高农民工参加城镇职工社会保险比例，推动更多城市将符合条件的未落户常住人口纳入公租房保障范围。因地制宜放宽在流入地参加中考报名条件，推进符合条件的随迁子女连续接受基础教育。进一步健全“人地钱”挂钩机制。保障进城落户农民合法土地权益，依法维护进城落户农民的土地承包权、宅基地使用权、集体收益分配权，探索建立自愿有偿退出的办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培育发展现代化都市圈</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健全都市圈同城化发展体制机制，构建便捷高效的通勤圈、梯次配套的产业圈、便利共享的生活圈。推进超大特大城市治理现代化，做强做精核心功能，辐射带动周边市县共同发展。推进都市圈内规划统一编制、项目统筹布局、政策协同制定，强化空间布局和土地用途跨行政区衔接，在具备条件的地方探索以都市圈为基本单元统筹公共资源和要素配置。提高都市圈通勤效率，加快打通城际未贯通路段和瓶颈路段，推动科技创新券通兑通用、就业和居住年限互认。在中西部和东北地区培育若干都市圈，增强中心城市辐射带动能级。</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建设现代化人民城市</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推动城市发展方式转变，建设创新、宜居、美丽、韧性、文明、智慧的现代化人民城市。实施激发产业创新活力专项行动，提升城市产业创新策源力。高质量推进城市更新，开展城市体检，加快建设完整社区，健全城市更新实施机制，建立与建筑功能转换和混合利用需求相适应的规划调整机制，构建可持续的城市建设运营投融资体系。高效利用城市地下空间。推动城市发展绿色低碳转型，优化城市公共交通服务，健全城市公园、绿道网络和慢行交通系统，不断完善15分钟健身圈。加快城市基础设施生命线安全工程建设，推进老旧管网和危旧房改造，提升城市排水防涝能力。严格限制超高层建筑，提升高层建筑火灾防范和救援能力。加强城市风貌和建筑设计管理，推动城市建筑更好体现中华美学和时代风尚。加强互嵌式社区建设。推进城市全域数字化转型，完善城市管理机制和运行管理服务平台，推动城市治理智慧化精细化。</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第四节  分类推进以县城为重要载体的城镇化建设</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立足资源禀赋、区位条件和发展基础，分类引导大城市周边县、农产品主产区县、重点生态功能区县、陆地边境县等县城发展方向，形成各具特色的发展路径，有序促进人口向县城和中心镇合理集聚。强化城镇化潜力地区县城产业支撑，吸纳农业转移人口就近就业安居和返乡创业。支持县城基础设施和公共服务补短板，增强县城综合承载能力，强化县级财力保障。适时调整扩大经济规模大、人口增长快的县级市和特大镇经济社会管理权限，稳妥推进人口小县机构优化。（见专栏13）</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第三十二章  加强海洋开发利用保护</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坚持陆海统筹，提高经略海洋能力，加快建设海洋强国，走出一条具有中国特色的向海图强之路。</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推动海洋经济高质量发展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做强做优做大海洋产业，有序推进海洋能源资源开发利用，发展深远海养殖和现代化远洋渔业，巩固提升海洋装备制造业优势，壮大海洋生物医药、海水淡化等海洋新兴产业，发展现代航运服务业，打造海洋特色文化和旅游目的地。强化海洋战略科技力量，加强海洋科技创新，健全深海极地考察支撑保障体系，发展远洋气象导航服务。实施深海工程，提高深海进入、探测、开发、安全能力。加强主要海湾整体规划，提升北部、东部、南部海洋经济圈发展水平，优化海洋经济发展示范区布局，建设各具特色的现代海洋城市，因地制宜深化港产城融合发展，鼓励沿海地区与内陆地区加强海洋经济合作。完善促进海洋经济发展体制机制，加大财税、金融等政策支持力度，优化海洋经济统计监测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保护海洋生态环境</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加强海洋环境风险源头防范，推进重点海域污染防治、岸滩整治和保护修复，近岸海域优良水质比例达到86%左右。严格围填海管控，全面落实自然岸线、滨海湿地、无居民海岛等保护要求，大陆自然岸线保有率不低于35%。强化海洋垃圾清理和资源化利用。制定差异化用海标准规范，积极推进海域分层立体利用。健全海岛开发保护管理体系，分类有序推进海岛发展。实施新一轮海洋综合调查，健全海洋生态预警监测体系，提高重大海洋灾害风险防控能力，防范应对海水倒灌。探索开展海洋碳汇核算。</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维护国家海洋权益</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积极推动构建海洋命运共同体，拓展蓝色伙伴关系，推动建设公正合理的国际海洋秩序。主动参与国际海洋治理规则制定，积极履行海洋生物多样性协定。加强海洋科研调查、防灾减灾、蓝色经济等领域国际合作，持续完善海洋领域多双边合作平台和机制，推动在我国设立专门海洋国际组织。增强海洋意识，加强形势研判、风险防范和法理斗争，健全维护海洋权益的体制机制，提高海上执法和海事司法能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第十篇  激发全民族文化创新创造活力  繁荣发展社会主义文化</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马克思主义在意识形态领域的指导地位，植根博大精深的中华文明，顺应信息技术发展潮流，发展具有强大思想引领力、精神凝聚力、价值感召力、国际影响力的新时代中国特色社会主义文化，扎实推进文化强国建设。</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第三十三章  弘扬和践行社会主义核心价值观</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以社会主义核心价值观引领文化建设，发展壮大主流价值、主流舆论、主流文化，不断构筑中国精神、中国价值、中国力量。</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推动理想信念教育常态化制度化</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深化党的创新理论学习和宣传教育，坚持不懈用习近平新时代中国特色社会主义思想凝心铸魂，加强体系化、学理化研究阐释和大众化、通俗化宣传普及。牢牢掌握党对意识形态工作领导权，全面落实意识形态工作责任制。弘扬中国共产党人精神谱系，深化爱国主义、集体主义、社会主义教育。加强和改进思想政治工作，推进校园文化建设，用好红色资源，加强青少年理想信念教育。深化主流媒体系统性变革，推进新闻宣传和网络舆论一体化管理，提高主流舆论引导能力。创新实施马克思主义理论研究和建设工程，实施哲学社会科学创新工程，加快构建中国哲学社会科学自主知识体系。加强中国特色新型智库建设。</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提高社会文明程度</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统筹推进城乡精神文明建设，发挥文化养心志、育情操的作用，涵养全民族昂扬奋发的精神气质。加强新时代公民道德建设，大力弘扬社会公德、职业道德、家庭美德、个人品德，加强家庭家教家风建设，强化未成年人思想道德建设。弘扬诚信文化、廉洁文化。发挥先进典型示范引领作用，加强英模人物学习宣传，完善功勋荣誉表彰体系。发挥市民公约、村规民约等作用，推进移风易俗。改进创新文明培育、文明实践、文明创建工作机制。</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加强网络文明建设</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提升信息化条件下文化领域治理能力，培育积极健康、向上向善的网络文化，共建网上美好精神家园。加强网络内容建设和管理，提升党的创新理论、中华优秀传统文化网上传播效能。加强全媒体传播体系建设，构建适应全媒体生产传播工作机制和评价体系。健全网络综合治理格局，完善网络生态治理长效机制，规范网络内容生产、信息发布和传播流程，督促互联网企业履行社会责任。统筹推进广播电视、网络视听发展和监管。</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第三十四章  大力繁荣文化事业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健全公共文化服务体系，传承弘扬中华优秀传统文化，让人民享受更高品质的文化生活。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繁荣文化创作生产</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以人民为中心的创作导向，把提高质量作为文艺创作的生命线，营造良好文化生态，提升文化原创能力。改进文艺创作生产服务、引导、组织工作机制，实施新时代艺术创作系列工程，推动新闻出版、广播影视、文学艺术等领域精品创作，繁荣互联网条件下新大众文艺。培育形成规模宏大、结构合理、锐意创新的高水平文化人才队伍。深化文化事业单位改革，完善文艺院团建设发展机制。深化文娱领域综合治理。</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提升公共文化服务水平</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文化惠民，实施公共文化服务提质增效行动，促进优质文化资源直达基层。广泛开展群众性文化活动，加强群众文艺团队建设。依托城市书房、社区文化驿站、文化长廊等发展新型公共文化空间，提供更多群众身边的文化服务。盘活用好各类公共文化设施资源，健全社会力量参与公共文化服务机制，有序推进公共文化设施所有权和使用权分置改革。提升智慧博物馆、智慧图书馆、公共文化云服务效能。深化全民阅读活动，推进书香社会建设。加强新型广电网络建设，提升超高清内容制播能力，深化互联网电视“套娃”收费和操作复杂治理。</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加强文化遗产保护传承</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推动文化遗产系统性保护和统一监管，推进管理资源整合，建立文化遗产保护督察制度。深入实施中华优秀传统文化传承发展工程，构建中华文明标识体系。实施中华文明探源和考古中国工程。加大世界文化遗产、古迹遗址、革命文物、馆藏文物、文化景观等保护力度，加强历史文化名城、街区、村镇有效保护和活态传承。建好用好长城、大运河、长征、黄河、长江国家文化公园，优化建设管理体制机制。强化档案文献遗产保护和古籍抢救性保护，加强中华典籍文献传承。提升非物质文化遗产保护传承水平，培育传承体验新场景。加强和改进地方志工作。（见图2）</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第三十五章  加快发展文化产业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完善文化管理体制和生产经营机制，实施积极的文化经济政策，大力发展文化旅游业，以文化赋能经济社会发展。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健全文化产业体系和市场体系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实施重大文化产业项目带动战略，扩大优质文化产品供给。改造提升传统文化业态，推进文化和科技融合，推动文化建设数智化赋能、信息化转型，发展数字动漫、沉浸式展演、线上演播、短视频、微短剧等新型文化业态，引导规范网络文学、网络游戏、网络视听等健康发展。深入实施出版融合发展工程，深化全产业链改革创新。培育优秀文化企业和品牌，促进文化产业园区规范创新发展。加快构建统一开放、高效规范、竞争有序的文化市场，深入推进文化市场综合执法改革，深化影视制作、网络视听等领域审批制度改革。</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推进文旅深度融合</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深化以文塑旅、以旅彰文，推进旅游强国建设。丰富高品质旅游产品供给，深挖特色资源和文化内涵，积极推动多业态融合发展。因地制宜发展红色旅游、乡村旅游、康养旅游、工业旅游等，规范发展研学旅游，培育特色主题旅游线路和旅游演艺精品项目。完善旅游公共服务，全链条提高旅游服务质量。加强文旅项目建设规范管理，防止闲置浪费。加强旅游市场综合监管和安全管理，改善旅游消费体验。实施入境旅游促进计划，提升入境游便利化国际化水平。</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第三十六章  提升中华文明传播力影响力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加快构建中国话语和中国叙事体系，提升国际传播效能，加强对外文化交流合作，展现可信、可爱、可敬的中国形象。</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构建更有效力的国际传播体系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完善国际传播体制机制，创新传播载体和方式，拓展海外传播网络，构建多渠道、立体式对外传播格局，全面提升国际话语权。培育全球化、市场化、专业化的国际传播主体，增强主流媒体国际传播能力，构建广电视听媒体国际传播矩阵，促进社交媒体平台国际化发展，推动中国故事和中国声音全球化、区域化、分众化表达。鼓励文化企业国际化经营，推动优质网络文学、网络游戏、影视动漫、精品展览等出海，加强国际传播重点基地、国家文化出口基地建设。</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深化文明交流互鉴</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广泛开展国际人文交流合作，加强多层次文明对话，推动中华文化更好走向世界。举办全球文明对话大会，持续办好良渚论坛。开展“读懂中国”、“兰花奖”等品牌活动，办好中国文化和旅游年（节）、海外中国电影节展。加强文化遗产领域国际发展援助，深化文物追索返还国际合作。支持中华文化传播展示和海外中国学发展。加强区域国别研究。（见专栏14）</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第十一篇  完善人口发展战略  促进人口高质量发展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以应对人口老龄化、少子化为重点完善人口发展战略，健全覆盖全人群、全生命周期的人口服务体系，优化人口结构，提高人口素质，以人口高质量发展支撑中国式现代化。</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第三十七章  建设生育友好型社会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优化生育支持政策和激励措施，有效降低家庭生育养育教育成本，努力稳定新出生人口规模，促进人口长期均衡发展。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完善生育支持政策</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生育友好的政策取向，推动生育支持融入经济社会发展各项政策。发挥育儿补贴和婴幼儿照护、子女教育个人所得税专项附加扣除政策作用，探索建立补贴标准动态调整机制。扩大生育保险制度覆盖面，合理提升产前检查医疗费用保障水平，基本实现政策范围内住院分娩个人“无自付”，将适宜的分娩镇痛项目纳入保障范围。全面落实生育休假制度，鼓励用人单位对3岁以下婴幼儿父母职工实行弹性工作制。加强生育力保护，实施早孕关爱行动、孕育和出生缺陷防治能力提升计划，婴儿死亡率、孕产妇死亡率分别下降到3.5‰、12/10万以下。推进辅助生殖技术规范有序应用，加强医疗费用保障。探索对婴幼儿参加基本医疗保险提供资助。</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健全育幼服务体系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加快普惠托育服务体系建设，多渠道扩大服务资源供给。加强公办托位供给，支持幼儿园发展托幼一体化服务，鼓励招收2—3岁幼儿。支持社会力量提供多元化普惠托育服务，发展用人单位办托、社区嵌入式托育和家庭托育点等多种模式。深入开展托育服务补助示范试点，完善普惠托育服务价格形成机制。实施托育服务质量提升行动，提高托育服务安全性和规范性。加快托育服务立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完善家庭发展政策和生育友好环境</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健全支持家庭发展的政策体系，提倡适龄婚育、优生优育和夫妻共担育儿责任。培育新型婚育文化，倡导积极婚育观，有效治理婚丧嫁娶中的陋习等问题。支持多子女家庭子女同校就读，住房保障和购房政策向多子女家庭倾斜。推动公共空间适儿化改造和母婴设施配备。实施家庭教育促进法，发挥社区家长学校等作用，加强家庭教育指导服务。健全计划生育特殊家庭全方位帮扶保障制度。加强出生人口性别比综合治理。完善人口监测体系和预测预警制度。</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第三十八章  办好人民满意的教育</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坚持教育优先发展，落实立德树人根本任务，深化教育综合改革，健全与人口变化相适应的教育资源配置机制，建设高质量教育体系，培养德智体美劳全面发展的社会主义建设者和接班人。</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实施新时代立德树人工程</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不懈用习近平新时代中国特色社会主义思想铸魂育人，加强“大思政课”建设，完善课程教材体系，全面实施新时代高校思政课课程方案，深入实施素质教育，促进学生健康成长、全面发展。创新实践育人形式，建设大学生社会实践专门课程，建立中小学校国情研学制度，促进思政课堂和社会课堂有效融合。实施学生体质强健计划，开展学校美育浸润行动、劳动习惯养成计划，普及心理健康教育。完善覆盖全学段学生资助体系。实施国家通用语言文字普及攻坚和质量提升行动。弘扬教育家精神，强化师德师风建设和教师待遇保障，实施教师教育能力提升工程，培养造就高水平教师队伍。健全学校家庭社会协同育人机制。深化教育评价改革，建立差异化管理和评价机制。引导规范民办教育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推进基础教育扩优提质</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加强基础教育资源跨学段动态调整和余缺调配，扩大学龄人口净流入城镇的教育资源供给。推进义务教育优质均衡发展，加强校长、教师区域内统筹调配、交流轮岗，有序推进小班化教学，办好必要的乡村小规模学校。推进学前教育优质普惠发展，提高公办幼儿园学位占比，学前教育毛入园率提高到95%。扩大普通高中办学资源，深入实施县域普通高中振兴计划，高中阶段教育完成率达到88%。稳步扩大免费教育范围，探索延长义务教育年限。有序推进中考改革，扩大优质高中招生指标到校比例，支持有条件的地方开展均衡派位招生试点。统筹推进“双减”和教育教学质量提升。健全特殊教育、专门教育保障机制。</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推动高等教育提质扩容</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按照研究型、应用型、技能型等基本办学定位，分类推进高校改革发展。以理工农医类专业为主有序扩大优质本科教育招生规模和研究生培养规模，高等教育毛入学率达到65%，稳步提高本科招生比例和研究生教育层次占高等教育在校生比例。大力发展专业学位研究生教育，提高工程硕博士培养比重。多渠道扩大优质高等教育资源，加大高水平研究型大学建设力度，建强应用型本科高校。新增高等教育资源适度向人口大省和中西部地区倾斜。研究适时调整本科生人均教育经费标准，持续改善学生宿舍等基本办学条件。扩大高水平教育对外开放，鼓励国外高水平理工类大学来华合作办学，加强“留学中国”品牌和能力建设。深入实施教育数字化战略。优化终身学习公共服务，完善国家开放大学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第四节  提升职业学校办学能力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推进现代职业教育体系建设，提高职业教育办学质量和吸引力。优化与区域发展相协调、与产业布局相衔接的职业教育布局，推动专业设置紧密对接产业链创新链需求。深化中等职业教育改革，办好少而精的中等职业学校，建设特色鲜明高等职业学校，支持中高职一体化发展。建设一批高水平本科层次职业学校，推动职业教育本科与专业学位教育融合贯通。实行产教融合的人才培养模式，健全德技并修、工学结合育人机制，鼓励行业龙头企业举办或参与举办职业学校。（见专栏15）</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第三十九章  加快建设健康中国</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实施健康优先发展战略，健全健康促进政策制度体系，提升爱国卫生运动成效，推动从以治病为中心向以健康为中心转变，为人民群众提供公平可及、系统连续的健康服务，提高人民健康水平。</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健全公共卫生体系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强化公共卫生能力，深化社会共治、医防协同、医防融合，建立健全传染病预防控制、应急处置、医疗救治、物资保障和监督管理体系。加强疾控体系建设，提升传染病监测预警和流行病学调查能力，完善公共卫生实验室网络，建设分级分层分流救治体系。加强重大传染病防控，完善联防联控机制。动态优化国家免疫规划疫苗种类。健全紧急医学救援和院前急救体系，提升血液保障和应急能力。加强心理健康和精神卫生服务，强化重点人群常见精神障碍和心理问题早期发现与综合干预。加强职业病防治。实施合理膳食行动与国民营养计划，持续开展健康体重管理行动。</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建设优质高效医疗服务体系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优化医疗机构功能定位和布局，完善分级诊疗体系。促进优质医疗资源扩容下沉和区域均衡布局，稳步有序推进国家医学中心建设，推动国家区域医疗中心提质增效。实施医疗卫生强基工程，加强县区、基层医疗机构运行保障，基本实现县域医共体全覆盖、提升紧密性协同性，推进紧密型城市医疗集团建设，健全巡回医疗制度，提高家庭医生服务覆盖率和感受度，提升基层医疗卫生机构诊疗量占比、合理增加药品品种配备。加强慢性病综合防控，发展防治康管全链条服务，健全早筛早诊早治体系，重大慢性病过早死亡率下降到13%以下。扩大康复护理、安宁疗护服务供给，实施康复护理扩容提升工程。加强全科医生、执业医师和护士队伍建设，提高住院医师规范化培训水平。推进全民健康数智化建设，推动检验检查结果共享互认。</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健全医疗医保医药协同发展和治理机制</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深化医药卫生体制改革，促进目标统一、政策衔接、信息联通、监管联动。以公益性为导向深化公立医院改革，建立公立医院编制动态调整机制，健全以医疗服务为主导的收费机制，完善薪酬制度，规范医疗机构和医务人员执业行为，加强医疗卫生领域法治保障。引导规范民营医院发展。深化医保支付方式改革，优化结余资金使用，完善不同层级医疗机构差异化支付政策，减轻参保者个人费用负担，提高医保基金使用效率。健全药品价格形成机制，完善药品和医用耗材集中采购政策。优化创新药和临床急需药品审评审批，健全医保支持创新药和医疗器械高质量发展机制，完善创新药目录，鼓励商业保险扩大创新药支付范围。</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第四节  推进中医药传承创新</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推动中医药振兴发展，促进中西医结合。健全中医药服务体系，提升基层中医药服务能力，加强中医优势专科建设，发展中西医协同服务。促进中医药科技创新，实施中医药特色人才培养工程。加强中药资源保护利用和道地药材生产基地建设，加强中药制剂、经典名方发掘转化，提高中药质量，做大做强中医药产业。推进符合中医药特点的医保支付方式改革。弘扬中医药文化，推动中医药走向世界。</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第五节  加快建设体育强国</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积极发展群众体育，广泛开展全民健身活动，强化青少年健身普及，经常参加体育锻炼人数比例达到40%左右。完善全民健身公共服务体系，加强群众身边的场地设施布局建设。改革完善竞技体育管理体制和运行机制，加强后备人才培养和体育科技装备研发，提高竞技体育综合实力。高质量备战重大国际赛事，办好全运会。推进“三大球”振兴发展，深化足球领域改革。丰富优质体育产品和服务供给，鼓励发展赛事经济，推进水域、空域、山地等向户外运动安全有序开放，持续巩固和扩大“带动三亿人参与冰雪运动”成果，推动体育产业高质量发展。（见专栏16）</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第四十章  积极应对人口老龄化</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深入实施积极应对人口老龄化国家战略，健全养老事业和产业协同发展政策机制，促进老有所养、老有所为、老有所乐。</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完善城乡养老服务网络</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统筹规划养老服务设施布局，优化基本养老服务供给，推动养老服务扩容提质增效。深化养老服务改革发展，有序推进养老机构分类改革。发展社区嵌入式养老服务，培育专业化、品牌化、连锁化社区养老服务机构。发展家庭养老床位，推进居家适老化改造。发展互助性养老服务。健全失能失智老年人照护体系，增加养老机构护理型床位供给，积极推进医养结合。推行长期护理保险，健全统一的老年人能力评估制度。推进养老服务人员队伍职业化建设，提升养老服务综合监管质效。加强高龄独居老人和空巢老人关爱帮扶。</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营造丰富多彩的老年生活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把积极老龄观、健康老龄化融入经济社会发展全过程，深入开展人口老龄化国情教育，营造孝老敬老社会环境。大力发展银发经济，丰富适老化产品和老年服务供给，培育银发经济龙头企业和知名品牌，探索建立银发产品认证制度，完善银发经济统计。积极开发老年人力资源，稳妥实施渐进式延迟法定退休年龄，优化就业、社保等方面年龄限制政策，拓展适合老年人的多样化工作岗位，深入开展“银龄行动”。扩大老年教育资源供给，发展老年大学，满足老年人精神文化需求。强化老年人优待和权益保障。加强公共设施适老化改造，持续开展“智慧助老”行动，推动涉老高频事项便捷办理和服务场景简便易用，发展综合为老服务。（见专栏17）</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第十二篇  加大保障和改善民生力度  扎实推进全体人民共同富裕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在高质量发展中保障和改善民生，坚持尽力而为、量力而行，健全基本公共服务体系，实施更加公平普惠、精准有力的社会政策，加强普惠性、基础性、兜底性民生建设，解决好人民群众急难愁盼问题，畅通社会流动渠道，提高人民生活品质。</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第四十一章  促进高质量充分就业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深入实施就业优先战略，坚持扩大就业容量和提升就业质量相结合，健全就业促进机制，构建就业友好型发展方式。</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强化就业优先政策</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把高质量充分就业作为经济社会发展的优先目标，健全重大政策、重大项目、重大生产力布局就业影响评估机制。加强产业和就业协同，实施稳岗扩容提质行动，对外贸、建筑、住宿、餐饮等吸纳就业多的行业企业持续强化政策支持，充分挖掘服务业、新兴领域吸纳就业潜能，推动灵活就业、新就业形态健康发展。稳定和扩大高校毕业生、农民工、退役军人等重点群体就业。加强困难群体就业帮扶，促进失业人员再就业，确保零就业家庭至少一人实现就业。加大创业支持力度，增强创业带动就业效应。综合应对外部环境变化和人工智能等新技术发展对就业的影响。建立高质量充分就业评价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大规模开展职业技能培训</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完善人力资源供需匹配机制，健全终身职业技能培训制度，着力解决结构性就业矛盾。以市场化培训为主导、行业企业自主培训为主体，充分发挥院校、社会化培训机构等优势作用，扩大高质量培训供给。统筹用好就业补助资金和失业保险基金等支持职业技能培训，指导企业按规定足额提取和使用职工教育经费。推进培训补贴直达企业和参训者，实行未就业重点群体培训补贴申领制。完善职业分类、职业标准和技能人才评价制度，深入实施“新八级工”职业技能等级制度，构建国家资历框架体系。办好世界技能大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加强就业服务和劳动者权益保障</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健全就业支持和公共服务体系，营造公平有序就业环境。完善劳动标准体系和劳动关系协商协调机制，健全灵活就业、新就业形态劳动者权益保障制度，推动平台企业公平制定劳动规则、依法合规用工，构建和谐劳动关系。加快流动人员档案服务数智化。强化择业和用人观念引导。完善劳动就业法规体系，提升劳动关系矛盾调解仲裁效能，健全劳动保障监察体制，督促企业依法落实工时制度，有效治理就业歧视、欠薪欠保、违法裁员等。健全就业失业统计监测和风险预警体系，完善规模性失业风险防范化解机制。（见专栏18）</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第四十二章  完善收入分配制度</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坚持按劳分配为主体、多种分配方式并存，完善初次分配、再分配、第三次分配协调配套的制度体系，提高居民收入在国民收入分配中的比重，提高劳动报酬在初次分配中的比重。</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优化初次分配格局</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健全各类要素由市场评价贡献、按贡献决定报酬的初次分配机制，促进多劳者多得、技高者多得、创新者多得。完善劳动者工资决定、合理增长、支付保障机制，推行工资集体协商制度，健全最低工资标准调整机制，加强企业工资分配宏观指导。深化国有企业工资决定机制改革，完善机关事业单位工资和津补贴制度，加大工资分配向基层一线和艰苦地区倾斜力度。完善企业薪酬调查和信息发布制度。多渠道增加城乡居民财产性收入，健全上市公司分红激励约束机制，丰富满足居民财富管理需求的金融产品和服务，提高农民土地增值收益分享比例。强化以增加知识价值为导向的分配政策，允许更多符合条件的国有企业以创新创造为导向在科研人员中开展多种形式中长期激励，加快构建技能导向的薪酬分配制度。</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加大收入分配调节力度</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加强税收、社会保障、转移支付等再分配调节，优化收入分配格局。加大税收调节力度和精准性，健全自然人税费服务和监管体系，实行劳动性所得统一征税。充分发挥专项附加扣除政策作用，加大个人所得税抵扣力度。探索完善资本利得税收调节机制，加强对高收入者税收监管。强化社会保障互助共济功能，逐步缩小制度间、区域间筹资和待遇保障差距。优化转移支付功能定位，强化一般性转移支付对缩小区域间财力差距的调节功能。健全赈灾赈济制度。更好发挥第三次分配作用，促进和规范公益慈善事业发展，探索慈善有效实现形式。</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稳步扩大中等收入群体规模</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制定实施城乡居民增收计划，有效增加低收入群体收入，提高中等收入群体比重，推动形成橄榄型分配格局。聚焦重点群体精准实施增收政策，提高高校毕业生就业匹配度，推动技术工人薪酬和技能“双提升”，全面落实农民工工资支付保障制度，多措并举促进中小企业主和个体工商户稳定经营，积极培养高素质农民和农村致富带头人，提高增收致富能力。规范收入分配秩序和财富积累机制，支持勤劳创新合法致富，鼓励先富带后富促共富，合理调节过高收入，取缔非法收入。</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第四十三章  健全社会保障体系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以强化重点群体保障、增强制度可持续性为重点，健全覆盖全民、统筹城乡、公平统一、安全规范、可持续的多层次社会保障体系。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稳步提高社会保障水平</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实施高质量参保行动，持续扩大社会保险覆盖面。加快发展多层次、多支柱养老保险体系，健全待遇确定和调整机制，逐步提高城乡居民基础养老金，退休人员基本养老金调整向待遇较低群体倾斜，扩大企业年金覆盖范围，完善个人养老金政策，大力发展商业养老保险。健全多层次医疗保障体系，完善异地就医结算，充分发挥商业医疗保险补充保障作用。提高灵活就业人员、农民工、新就业形态人员参保率，合理确定缴费基数，明晰用工方和平台企业缴费责任。扩大失业、工伤等社会保险覆盖面，建立健全职业伤害保障制度。完善社保关系转移接续政策，提高养老保险关系转移接续效率。优化全国统一的社保公共服务平台和经办管理服务。</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增强社会保险体系可持续性</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健全社会保险精算制度，完善社保基金长效筹集、统筹调剂、保值增值和安全监管机制。做优做强社会保障战略储备基金，继续划转国有资本充实社保基金。加强参保缴费激励，鼓励有条件的集体经济组织等补助城乡居民参保缴费，合理提高城乡居民基本医疗保险财政补助标准。完善并落实基本养老保险全国统筹制度，基本实现基本医疗保险省级统筹，巩固失业、工伤保险省级统筹。完善社保基金投资政策和监管体系，加强信息披露和绩效评价，强化医保基金监管。</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健全社会救助体系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健全分层分类、城乡统筹的社会救助体系。完善基本生活救助制度和专项救助制度，动态调整社会救助标准，加强低保边缘家庭、刚性支出困难家庭救助。积极发展服务类社会救助，加强各类社会救助政策统筹衔接。健全临时救助制度，全面推进由急难发生地直接实施救助。健全救助对象认定监测机制，加强救助体系与其他政策有效衔接，激发救助对象脱困解困内生动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第四十四章  推动房地产高质量发展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加快构建房地产发展新模式，健全多主体供给、多渠道保障、租购并举的住房制度，实现更高水平住有所居。</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完善住房保障体系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优化保障性住房供给，强化城镇低收入住房困难家庭住房保障，更好满足住房困难且收入不高的工薪群体基本住房需求，逐步解决新市民、青年等群体的阶段性住房困难。加强保障性住房全流程管理，健全申请、轮候、配租配售、使用、退出等管理机制。探索配租型、配售型保障性住房房源有序转换和统筹使用。深化住房公积金制度改革，扩大使用范围，支持灵活就业人员参加住房公积金制度。</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推动房地产市场平稳健康发展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完善商品房开发、融资、销售等基础制度。推行房地产开发项目公司制和融资主办银行制，支持满足房地产合理融资需求，有力有序推进现房销售。合理安排房地产用地规模和布局，促进土地供应与存量住房、人口变动等相协调。充分赋予城市政府房地产市场调控自主权。推动已供未开发土地和在建项目分类处置，推进存量商品房和闲置商业办公用房盘活利用。因城施策增加改善性住房供给。建设安全舒适绿色智慧的“好房子”，实施房屋品质提升工程和物业服务质量提升行动。规范发展住房租赁市场，培育市场化专业化租赁企业。建立房屋全生命周期安全管理制度。</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第四十五章  稳步推进基本公共服务均等化</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增强基本公共服务均衡性和可及性，推动基本公共服务均等化取得更为明显的实质性进展。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建立基本公共服务均等化制度体系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制定实施基本公共服务均等化规划和政策，加快实现常住人口同等享有基本公共服务，有序推进县域范围内城乡基本公共服务均衡发展，逐步缩小区域基本公共服务资源差距。以享有机会公平、效果大致相当为导向，建立基本公共服务均等化评价标准体系，分领域细化评价标准，探索开展均等化实现程度评价。聚焦幼有所育、学有所教、劳有所得、病有所医、老有所养、住有所居、弱有所扶等领域，完善基本公共服务范围和内容，适时纳入群众急需的服务项目，动态调整国家标准，加强区域间标准统筹。推动更多公共服务向基层下沉、向农村覆盖、向边远地区和生活困难群众倾斜。加强县域基本公共服务供给统筹，完善投入保障长效机制。</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全面推进常住地提供基本公共服务</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健全与常住人口相匹配的公共资源配置机制。在人口集中流入城市，规范实施以就业居住年限为主要条件的紧缺公共服务梯度供应，逐步减少梯度层次和服务差异。落实持居住证参加城乡居民基本医疗保险政策。逐步将未落户常住人口纳入常住地儿童关爱、社会救助等范围。全面深化事业单位改革，优化公共服务领域事业单位结构布局，巩固完善充分考虑常住人口服务对象数量、服务成本等因素的财政转移支付分配机制。</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第四十六章  保障各类群体发展权益</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健全关爱服务体系，营造有效保障妇女、未成年人、青年人、残疾人等发展权益的社会环境，提升退役军人服务保障水平。</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促进男女平等和妇女全面发展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男女平等基本国策，保障妇女依法平等参与经济社会发展、平等行使民主权利、平等享有改革发展成果。完善妇幼健康服务体系，加强乳腺癌、宫颈癌综合防治，全面实施适龄女童国家免疫规划人乳头瘤病毒（HPV）疫苗免费接种。保障妇女平等受教育权利和就业权益，依法保障农村妇女集体经济组织成员权和土地承包经营权，支持妇女参与基层治理。持续预防和制止家庭暴力，严厉打击侵害妇女权利的违法犯罪行为。</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强化未成年人关爱保护</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儿童优先发展，切实保障儿童生存权、发展权、受保护权和参与权。推进儿童近视、超重肥胖和孤独症等早筛查早干预。提高儿童医疗保健服务水平，丰富儿童用药品种。加强困境儿童关爱服务，推进流动儿童、留守儿童分类帮扶，有效提升福利保障水平。完善儿童早期发展服务。制定实施儿童伤害防控行动计划，强化未成年人违法犯罪预防和治理，有效防治学生欺凌。加强未成年人网络保护，拓展网络育人空间和阵地。推进儿童友好建设，营造关心关爱下一代的社会环境。</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支持青年发展</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健全促进青年发展的规划和政策，为青年成长成才、建功立业创造良好条件。加强对广大青年的思想政治引领和价值观塑造，深入开展新时代中国青年科技创新、乡村振兴等领域青春建功行动，支持青年在各领域各方面工作中争当排头兵和主力军。帮助青年解决求学工作、创新创业、婚恋生育、住房保障、社会融入等实际困难。完善青年群体利益表达和诉求响应机制，拓展青年有序参与社会治理渠道。</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第四节  加强退役军人服务保障</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深化退役军人管理保障改革，完善组织管理、工作运行和政策制度体系。健全优抚待遇确定和调整机制，加强优待项目统筹管理，完善退役军人帮扶援助和法律服务体系。深化优抚医院、光荣院管理改革，完善优抚医疗康养体系。推进退役军人高质量安置就业，完善安置办法，强化政策支持和服务指导。健全退役军人荣誉激励和表彰奖励制度。加强和改进双拥模范创建工作。大力弘扬英烈精神。</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第五节  提升残疾人保障和发展能力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完善残疾人社会保障制度和关爱服务体系，促进残疾人事业全面发展。强化对重度残疾、多重残疾、一户多残等群体兜底保障，健全困难残疾人生活补贴、重度残疾人护理补贴制度及补贴标准动态调整机制，加强残疾儿童康复救助，健全残疾人辅助器具适配补贴制度。完善残疾人社区和家庭支持，加强重度残疾人托养照护，发展精神障碍社区康复。强化残疾人就业帮扶，完善按比例就业、集中就业、自主就业促进机制。发展残疾人文化体育。深入推进科技助残，加强公共设施、信息交流、社会服务无障碍环境建设。（见专栏19）</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第十三篇  加快经济社会发展全面绿色转型  建设美丽中国</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牢固树立和践行绿水青山就是金山银山的理念，以碳达峰碳中和为牵引，以健全生态文明制度体系为保障，协同推进降碳、减污、扩绿、增长，改善生态环境质量，筑牢生态安全屏障，增强绿色发展动能。</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第四十七章  积极稳妥推进和实现碳达峰</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统筹发展和减排，扎实开展碳达峰行动，加快产业结构、能源结构、交通运输结构等调整优化，确保如期实现碳达峰目标。</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全面实施碳排放总量和强度双控制度</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政策引导和市场激励相结合，稳步实施地方碳考核、行业碳管控、企业碳管理、项目碳评价、产品碳足迹等政策制度。建立碳达峰碳中和综合评价考核制度，科学合理分解碳排放双控目标，压实碳排放目标落实责任。建立行业碳排放管控机制，明确重点行业领域碳排放管理要求，协同推进产能治理和碳排放双控。健全重点用能和碳排放单位管理制度。强化固定资产投资项目节能审查和碳排放评价，新建和改扩建高耗能高排放工业项目实施碳排放等量或减量置换。制定产品碳足迹核算规则标准，发布重点产品碳排放限额标准，建立产品碳标识认证制度。完善碳排放统计核算体系和动态监测预警机制，常态化编制国家温室气体清单。扩大全国碳排放权交易市场覆盖范围，加快温室气体自愿减排交易市场建设。</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推动重点领域节能降碳</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深入开展节能降碳改造和控煤减煤，加快推进新增用电量由新增清洁能源电量覆盖，推动煤炭和石油消费达峰，单位GDP能耗下降10%左右。有力有效管控高耗能高排放项目，加快绿色低碳技术装备创新应用，有序推动符合要求的高载能产业向可再生能源资源富集区域转移，建设零碳工厂和园区。加强既有建筑和市政设施节能降碳改造，促进超低能耗和装配式建筑规模化发展，实施制冷能效提升和绿色照明行动。加快热力系统绿色低碳转型，因地制宜开展余热资源利用和非化石能源供热，有序推进供热计量改造和按热量收费。推动交通动力低碳替代，加快货运、公共领域电动化和绿色燃料车船应用，提高大宗货物铁路、水路运输比重和新能源汽车运输比重。提升算力设施、5G基站等新兴领域用能效率。健全重点领域能效诊断机制，深入实施能效标识和能效“领跑者”制度。深化绿色低碳高质量发展先行区建设。</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提升应对全球气候变化能力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减缓与适应并重，全面控制温室气体排放，积极应对气候变化不利影响和风险。加强非二氧化碳温室气体监测管控，提升生态系统碳汇增量，健全碳汇监测核算体系。完善适应气候变化工作体系，强化气候变化对关键脆弱领域区域风险影响评估，提升应对气候变化特别是极端天气能力。积极参与和引领全球气候治理，坚持共同但有区别的责任原则，全面落实联合国气候变化框架公约及其巴黎协定，深化气候变化南南合作。（见专栏20）</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第四十八章  持续改善环境质量</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坚持环保为民，全面落实精准科学依法治污，更加注重源头治理，强化减污降碳协同、多污染物控制协同、区域治理协同，加快推动环境质量改善由量变到质变。</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深入打好蓝天、碧水、净土保卫战</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持续深入推进污染防治攻坚，以更高标准改善大气、水、土壤环境质量。以京津冀及周边、长三角、汾渭平原等重点区域为主战场，强化细颗粒物（PM2.5）控制，深入推进重点行业超低排放改造，推动挥发性有机物源头替代和全流程治理，制定下一阶段机动车排放和油品质量标准，深化大气环境绩效分级管理，氮氧化物、挥发性有机物排放量分别下降8%以上，进一步消除重污染天气。加强长江中游、成渝等区域大气污染防治。加强餐饮油烟、恶臭异味和环境噪声污染治理。统筹水资源、水环境、水生态治理，以解决全流域和跨省界突出问题为重点，加强重要江河湖库系统治理和生态保护，基本完成重点流域海域入河入海排污口排查整治，化学需氧量、总磷排放量分别下降6%，巩固城市黑臭水体治理成效、基本消除县乡黑臭水体。加强土壤污染源头防控，推进受污染耕地、建设用地安全利用。</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加强环境风险防控</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常态化管控生态环境风险，有效保障公众健康安全。实施固体废物综合治理行动，积极推进源头减量、过程管控、末端利用和全链条无害化管理，提升固体废物处置规范管控水平。强化危险废物全过程监管，重点管控重金属污染风险，开展废渣、矿山、尾矿库等历史遗留隐患排查整治。深入推进新污染物治理，建立持久性有机污染物、内分泌干扰物、抗生素、微塑料等协同治理和风险管控体系。推动核设施高标准设计、高质量建设、高水平运行，深化首堆新堆安全监管，加强老旧设施退役治理和放射性废物处置，提升辐射环境监测能力。完善跨区域、跨部门联动的突发环境事件应急响应体系。开展重点区域生态环境健康风险评估。</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健全现代环境治理体系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实施生态环境法典，健全责任体系、监管体系、法律法规标准体系，提高环境治理效能。落实各级党委政府及领导干部生态环境保护责任，深入推进中央和省级生态环境保护督察，提升督察支撑保障能力和监测监管现代化水平。持续建设国家生态文明试验区。开展美丽中国建设成效考核，建设美丽中国先行区。深入推进生态环境分区管控，加强同国土空间规划衔接，协同优化产业布局。加快落实以排污许可制为核心的固定污染源监管制度。更新污染物排放和环境质量标准，构建环境信用监管体系。（见专栏21）</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第四十九章  提升生态系统多样性稳定性持续性</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坚持山水林田湖草沙一体化保护和系统治理，统筹自然恢复和人工修复，更加注重提质兴业利民，构建从山顶到海洋的保护治理大格局。</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巩固和优化生态安全屏障</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统筹推进重要生态系统保护和修复重大工程，持续巩固以“三区四带”为骨架的国家生态安全屏障体系。打好“三北”工程攻坚战，推动三大标志性战役取得决定性胜利。深入推进青藏高原生态保护，加强重点区域水土流失治理和石漠化治理。科学开展大规模国土绿化行动，推进森林质量精准提升和国家储备林建设，森林蓄积量达到224亿立方米，统筹草原生态修复与合理利用，加强湿地保护修复。推进超引地表水和超采地下水治理，开展历史遗留废弃矿山生态修复。</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全面推进自然保护地体系建设</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实施自然保护地整合优化，落实分级管理和分区管控，建立健全以国家公园为主体的自然保护地体系。有序设立新的国家公园，提升自然保护区、自然公园生态服务功能。实施生物多样性保护重大工程，以旗舰物种、关键物种保护为重点，加强重要栖息地、生态廊道和候鸟迁飞通道保护修复，持续加强长江水生生物保护，建设国家植物园体系，强化古树名木保护。加强森林草原防灭火、有害生物防治，强化外来入侵物种监测管控。</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健全生态保护机制</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严格约束和增强激励并重，激发全社会保护生态内生动力。严格落实生态保护红线管理制度，强化生态破坏问题排查整治，开展生态保护修复成效评估。健全自然资源资产产权和管理制度，全面推进资产调查核算和确权登记。完善多元化生态补偿机制，健全重点生态功能区转移支付和森林、草原等重要生态系统补偿政策，完善补偿标准动态调整机制，以流域为重点深入开展横向补偿，发展市场化生态补偿，探索生态综合补偿。因地制宜拓展生态产品价值实现渠道。完善生态环境损害赔偿制度。深化集体林权制度和国有林区改革，加快建设现代化国有林场。（见专栏22）（见图3）</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第五十章  加快形成绿色生产生活方式</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突出节约优先、强化政策激励、引导全社会参与，加快发展方式绿色低碳转型，形成绿色生产新方式和生活新风尚。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加强资源节约集约利用</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完善资源总量管理和全面节约制度，加强水、土地、矿产等资源全过程管理和全链条节约。提高水资源集约安全利用水平，全面落实水资源刚性约束制度，强化农业节水增效、工业节水减排、城镇节水降损，单位GDP用水量下降10%，农田灌溉水有效利用系数提高到0.6。提升建设用地利用效率，推广应用节地技术和节地模式，新增建设用地规模控制在2600万亩以内。提升矿产资源综合利用水平，全面推进绿色勘查和绿色矿山建设。促进循环经济发展，健全废弃物循环利用体系，在确保固体废物零进口前提下有序推进海外优质再生原料进口利用，发展壮大再制造产业，大宗固体废弃物年利用量达到45亿吨左右。</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健全绿色发展政策体系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创新保护和投入激励机制，实施促进绿色低碳发展的财税、金融、投资、价格、科技、环保等政策。优化绿色税收制度，开展挥发性有机物环境保护税征收试点，落实支持资源节约和绿色产品使用的税收优惠。丰富绿色金融产品和服务，有序推进碳金融产品和衍生工具创新，健全金融机构绿色金融考核评价体系，鼓励提升绿色低碳领域投资比例。健全绿证交易机制，完善鼓励灵活性电源参与系统调节的价格政策。建立健全绿色低碳标准体系，推动引领国际规则标准完善和衔接互认。</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开展绿色低碳全民行动</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大力倡导简约适度、绿色低碳、文明健康的生活理念和消费方式。引导公众节约用水用电、反对铺张浪费、推广“光盘行动”、抵制过度包装、减少一次性用品使用，加快“以竹代塑”发展，优先选择绿色出行方式。鼓励企业提高绿色设计和制造水平，降低产品全生命周期能源资源消耗和生态环境影响。提高垃圾分类和资源化利用水平。健全绿色消费激励机制，拓展政府采购绿色产品范围和规模。</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第十四篇  推进国家安全体系和能力现代化  建设更高水平平安中国</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坚定不移贯彻总体国家安全观，加快构建新安全格局，增强维护和塑造国家安全战略主动，走中国特色社会主义社会治理之路，确保社会生机勃勃又井然有序。</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第五十一章  加强国家安全体系和能力建设</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以战略为先导、政策为抓手、法治为保障、风险防控为落脚点，巩固集中统一、高效权威的国家安全领导体制，制定实施国家安全战略，完善国家安全法治体系、战略体系、政策体系、风险防控体系。强化国家安全重点领域和重要专项协调机制，提高应急应变效能。落实国家安全责任制，促进全链条全要素协同联动，形成体系合力。加强重点领域国家安全能力建设，锻造实战实用的国家安全能力，突出保障事关国家长治久安、经济健康稳定、人民安居乐业的重大安全，把捍卫政治安全摆在首位，坚定维护政权安全、制度安全、意识形态安全，严厉打击敌对势力渗透、破坏、颠覆、分裂活动。夯实国家安全基础保障，强化科技赋能，加强新兴领域国家安全能力建设。维护重点领域国家秘密安全。完善涉外国家安全机制，构建海外安全保障体系，加强反制裁、反干预、反“长臂管辖”斗争，深化国际执法安全合作。强化国家安全教育，筑牢人民防线。</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第五十二章  保障国家经济安全</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聚焦重点品种加强战略物资保障，聚焦系统重要性领域防范化解重大风险，聚焦新产业新业态新应用场景提升薄弱环节风险防控能力，以精准补齐短板带动安全保障能力全面提升。</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增强粮食安全保障能力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以我为主、立足国内、确保产能、适度进口、科技支撑，提升粮食产购储加销协同保障能力，确保谷物基本自给、口粮绝对安全。严格落实耕地保护和粮食安全党政同责要求，严守耕地红线。加强粮食购销和储备管理，保持政府储备粮规模相对稳定，强化储备调节功能，健全粮食监管新模式。深入实施优质粮食工程，推进粮食流通提质增效。推进粮食产后全链条节约减损，实施全谷物行动计划。完善化肥储备制度，加强钾肥、磷肥等保供稳价。建立稳定可控的海外供应渠道，推进农产品进口多元化，适度进口紧缺优质品种，促进贸易和生产相协调。</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强化能源资源供应保障</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立足国内、补齐短板、多元保障、强化储备，加强能源产供储销体系建设。坚持油气核心需求自主保障，实施中长期油气增储上产战略行动，确保原油年产量稳定在2亿吨左右、天然气产量稳步增长，加强煤制油气产能和技术储备。强化政府储备和企业储备协同，提升国家石油储备规模，建立更加灵活的轮换动用机制，增强天然气储备调节保障能力，完善煤炭储备体系。健全能源保供中长期合同制度，完善电力应急调度机制和备用电源配置，强化能源需求侧管理。加强战略性矿产资源勘探开发和储备，深入实施新一轮找矿突破战略行动，统筹加强产品、产能和产地储备，推动大宗商品储运基地建设，提升战略性矿产资源安全风险监测预警和应急保供水平。加强能源资源开发国际合作，维护战略通道安全。</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健全防范化解重点领域风险长效机制</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强化源头防控、预判预警、早期纠正，统筹推进房地产、地方政府债务、中小金融机构等风险有序化解，严防系统性风险。完善系统重要性金融机构监管，加强金融市场、跨境资本流动等重点领域宏观审慎管理。建立健全全口径地方债务监测监管体系和防范化解隐性债务风险长效机制，严肃财经纪律，坚决遏制新增地方政府隐性债务，优化中央和地方政府债务结构，加快推动地方政府融资平台改革转型。支持金融机构稳妥有序开展资本补充，完善中小金融机构风险处置机制，丰富风险处置资源和手段，充实金融稳定保障基金、存款保险基金和其他行业保障基金。强化央地金融监管协同，健全金融消费者权益保护机制，严厉打击非法金融活动。强化开放条件下金融安全保障，完善跨境资金流动监测预警响应机制。</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第四节  提升网络安全保障能力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深化网络空间安全综合治理，加快国家网络安全防御体系建设。健全关键信息基础设施安全防护、网络安全审查、云计算服务安全评估等基础制度，完善互联网内容管理、网络平台治理等法规。严厉打击网络违法犯罪行为，加强个人信息保护。持续开展“清朗”系列专项行动，治理网络谣言、网络暴力等乱象，营造风清气正的网络环境。支持网络安全技术创新和产业发展，鼓励发展安全可靠的信息产品和服务。推进容灾备份体系建设，加强工业控制系统和新技术新应用的网络安全防护。深度参与网络空间全球治理和国际规则制定，积极拓展国际网络安全合作。</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第五十三章  提高公共安全治理水平</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完善公共安全体系，推动公共安全治理模式向事前预防转型，切实维护人民群众生命财产安全。</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强化食品药品安全监管</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健全食品药品全链条全过程监管机制，完善食品药品安全责任体系。加强从农田到餐桌的食品安全监管，强化风险源头管控，提高协同监管和智慧监管水平，深化重点问题农产品药残治理。完善严格高效的药品监管，深入实施药品标准提高行动计划，强化高风险产品抽检抽查。提高仿制药质量和疗效一致性评价质效，加强上市后临床使用数据监测。落实行业监管、属地管理、企业主体的食品药品安全责任，加大违法犯罪行为惩治力度。严格生物技术研发应用监管，提升生物数据资源存储和安全管理能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提高安全生产水平</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严格落实安全生产党政同责、“三管三必须”要求，有效防范遏制重特大事故。提升重要基础设施本质安全水平，加快矿山、危险化学品、特种设备等领域高风险工艺和装备淘汰更新，加强生产经营单位主要负责人和特殊工种安全培训。完善安全生产风险排查整治和责任倒查机制，督促企业完善安全生产管理体系，提高安全生产风险防范和事故灾害应急处置水平。提升安全生产执法质效，建立各行业执法检查重点事项清单，扎实开展中央安全生产考核巡查。</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完善应急管理体系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人民至上、生命至上，一体提升减灾预防、抗灾设防、救灾保障能力，有效降低各类灾害事故损失。加强灾害监测预报预警，提升全天候实时监测预警能力。合理提高重要城市和灾害多发地区关键基础设施设防标准，推进城市平急两用公共基础设施建设。深化应急管理改革，完善大安全大应急框架下应急指挥机制。提高防灾减灾救灾和重大突发公共事件处置保障能力，建强国家综合性消防救援队伍，优化专业救援队伍结构布局，提高极端条件下救援能力。实施基层应急能力提升行动，提高基层应消一体综合救援和全社会防灾避险能力。加强应急预案体系建设和管理，完善多元化应急物资储备和快速调拨投送机制。健全巨灾风险保障体系和风险分担机制。</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第五十四章  完善社会治理体系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坚持系统治理、依法治理、综合治理、源头治理，完善共建共治共享的社会治理制度，健全社会工作体制机制和社会治理政策法律法规体系，推进社会治理现代化。</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夯实基层社会治理根基</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和发展新时代“枫桥经验”，健全党组织领导的自治、法治、德治相结合的城乡基层治理体系。加强党建引领基层治理和基层政权建设，全面实施乡镇（街道）履行职责事项清单，健全村（社区）工作事项准入制度，落实“四下基层”，完善“街乡吹哨、部门报到”等做法。推动社会治理和服务重心向基层下移，加强基层服务管理力量配置，完善服务设施和经费保障机制，健全城乡社区治理体系，完善网格化管理、精细化服务、信息化支撑的基层治理平台。健全凝聚服务群众工作机制，夯实社会治理群众基础。发挥人民群众主体作用，引导各方有序参与社会治理。加强社会工作者队伍建设，提高专业化服务水平。推进网上网下协同治理。强化市民热线等公共服务平台功能，推动“民有所呼、我有所应”。</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提升新兴领域治理效能</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加强新经济组织、新社会组织、新就业群体党的建设，进一步扩大党的组织覆盖和工作覆盖，加强和改进对各类社会群体的政治引领和服务管理。提升非公有制企业党建工作质量，加强对混合所有制企业党建工作的分类指导，突出抓好商圈楼宇和园区党建工作。加强社会组织培育管理，推动行业协会商会改革发展。加强志愿服务组织管理，完善激励褒奖机制，发展志愿服务。加强新就业群体服务管理和关心关爱。</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有效维护社会安全稳定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完善正确处理新形势下人民内部矛盾机制，畅通和规范群众诉求表达、利益协调、权益保障通道，深入推动矛盾纠纷源头化解、多元化解、有序化解。推进信访工作法治化，持续开展领导干部接访下访，深化信访突出矛盾化解。健全社会心理服务体系和危机干预机制。深化社会治安整体防控体系和能力建设，落实维护社会稳定责任，发展壮大群防群治力量，健全扫黑除恶常态化机制，加大预防和打击电信网络诈骗、毒品犯罪等力度。推进综治中心规范化建设。全面准确贯彻宽严相济刑事政策，依法惩处违法犯罪，提升刑罚执行质效。推进政法工作数字化平台建设。（见专栏23）</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第十五篇  如期实现建军一百年奋斗目标  高质量推进国防和军队现代化</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贯彻习近平强军思想，贯彻新时代军事战略方针，坚持党对人民军队绝对领导，贯彻军委主席负责制，按照国防和军队现代化新“三步走”战略，推进政治建军、改革强军、科技强军、人才强军、依法治军，边斗争、边备战、边建设，加快机械化信息化智能化融合发展，提高捍卫国家主权、安全、发展利益战略能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第五十五章  着力提高国防和军队现代化质量效益</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加快军事理论、军队组织形态、军事人员、武器装备和军事治理现代化，提高人民军队打赢能力，有效履行新时代人民军队使命任务。</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加快先进战斗力建设</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壮大战略威慑力量，维护全球战略平衡和稳定。推进新域新质作战力量规模化、实战化、体系化发展，加快无人智能作战力量及反制能力建设，加强传统作战力量升级改造。统筹网络信息体系建设运用，加强数据资源开发利用，构建智能化军事体系。加快建设现代化后勤。实施国防发展重大工程，加紧国防科技创新和先进技术转化，加快先进武器装备发展。优化军事人力资源政策制度，提高军队院校办学育人水平，打造高素质专业化新型军事人才方阵。实施军事理论现代化推进工程。深化战略和作战筹划，扎实推进实战化军事训练，加强作战能力体系集成，创新战斗力建设和运用模式，增强军事斗争针对性、主动性、塑造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推进军事治理现代化</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完善人民军队领导管理体制机制，调整优化联合作战体系。加强和改进战略管理，深化战建备统筹，强化作战需求牵引，创新管理方法手段，提高军事系统运行效能和国防资源使用效益。加强重大决策咨询评估和重大项目监管，推进军费预算管理改革，改进军事采购制度，完善军队建设统计评估体系，全面落实勤俭建军方针，走高效益、低成本、可持续发展路子。持续深化政治整训，弘扬优良传统，加强重点行业和领域整肃治理。深入推进军队法治建设，加强法规制度供给和执行监督，完善中国特色军事法治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第五十六章  巩固提高一体化国家战略体系和能力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加强军地战略规划统筹、政策制度衔接、资源要素共享，促进国防实力和经济实力同步提升。深化跨军地改革，构建各司其职、紧密协作、规范有序的跨军地工作格局。加快新兴领域战略能力建设，健全前沿科技成果“民参军”绿色通道，推动新质生产力同新质战斗力高效融合、双向拉动。建设先进国防科技工业体系，优化国防科技工业布局，完善装备采购管理体系，推进军民标准通用化。加强国防建设军事需求提报和军地对接，推动重大基础设施全面贯彻国防要求，加强国防战略预制，提高重要目标防护能力。坚持军民一体、平战一体，加快国防动员能力建设，加强后备力量建设，统筹国防动员和应急管理体系，深化力量队伍、重要设施和通用装备共建共享。加强现代边海空防建设，推进党政军警民合力强边固防。加强军人军属荣誉激励和权益保障。深化全民国防教育，巩固军政军民团结。</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第十六篇  发展全过程人民民主  完善中国特色社会主义法治体系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坚定不移走中国特色社会主义政治发展道路，坚持党的领导、人民当家作主、依法治国有机统一，巩固和发展生动活泼、安定团结的政治局面。</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第五十七章  发展社会主义民主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扩大人民有序政治参与，丰富各层级民主形式，发展更加广泛、更加充分、更加健全的全过程人民民主，保证人民依法实行民主选举、民主协商、民主决策、民主管理、民主监督。坚持好、完善好、运行好人民代表大会制度，健全人大对行政机关、监察机关、审判机关、检察机关监督制度，确保国家机关依法行使权力、履行职责，确保人民群众民主权利、合法权益得到维护和实现。坚持和完善中国共产党领导的多党合作和政治协商制度，发挥人民政协作为专门协商机构作用，加强各种协商渠道协同配合，推进协商民主广泛多层制度化发展。健全基层民主制度，保障人民依法管理基层公共事务和公益事业，健全以职工代表大会为基本形式的企事业单位民主管理制度。健全吸纳民意、汇集民智工作机制。更好发挥工会、共青团、妇联等群团组织作用，加强产业工人队伍建设、青少年发展、妇女儿童事业发展政策保障。促进人权事业全面发展。完善大统战工作格局，巩固和发展最广泛的爱国统一战线。铸牢中华民族共同体意识，推进中华民族共同体建设。坚持我国宗教中国化方向，加强宗教事务治理法治化。全面贯彻党的侨务政策，更好凝聚侨心侨力，发挥宗亲乡亲、祖地文化等纽带作用。</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第五十八章  推进全面依法治国</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全面依法治国，协同推进科学立法、严格执法、公正司法、全民守法，更好发挥法治固根本、稳预期、利长远的保障作用，建设更高水平的社会主义法治国家。加强宪法法律实施和监督，完善维护国家法治统一制度机制。加强立法规划和立法审查，拓宽社会公众参与立法的渠道方式，提高立法质量，加快金融、招标投标等领域法律法规制修订。强化法治政府建设，全面落实行政规范性文件备案审查，完善实质性化解行政争议机制。加大关系群众切身利益的重点领域执法力度，强化跨部门执法司法协同和监督。规范司法权力运行，完善司法公正实现和评价机制，提高司法裁判公正性、稳定性、权威性。依法保障人身权、财产权、人格权。强化检察监督，加强公益诉讼。健全国家执行体制，有效解决“执行难”问题。加快涉外法治体系和能力建设，健全国际商事调解、仲裁、诉讼等机制，支持国际调解院更好发挥作用。加强领导干部依法办事监督检查，完善综合性法治评价工作机制。深入推进法治社会建设，加快发展律师等法律服务队伍，完善普惠性公共法律服务，加强法治宣传教育，营造全社会崇尚法治、恪守规则、尊重契约、维护公正的良好环境。</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第十七篇  坚持和完善“一国两制”  推进祖国统一</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坚定不移维护和促进香港、澳门长期繁荣稳定，坚定不移推进祖国统一大业，携手共创民族复兴伟业。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第五十九章  促进香港、澳门长期繁荣稳定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定不移贯彻“一国两制”、“港人治港”、“澳人治澳”、高度自治方针，落实“爱国者治港”、“爱国者治澳”原则，提升港澳依法治理效能，促进港澳经济社会发展，发挥港澳背靠祖国、联通世界独特优势和重要作用。</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支持港澳巩固提升竞争优势</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支持香港巩固提升国际金融、航运、贸易中心和国际航空枢纽地位，强化全球离岸人民币业务枢纽、国际资产及财富管理中心、国际风险管理中心功能，构建大宗商品交易生态圈和高增值供应链服务中心。支持香港建设国际创新科技中心，深化国际法律及解决争议服务中心、区域知识产权贸易中心、中外文化艺术交流中心建设，加快北部都会区建设。支持澳门经济适度多元发展，深化世界旅游休闲中心、中国与葡语国家商贸合作服务平台和以中华文化为主流、多元文化共存的交流合作基地建设，提升中医药大健康、特色金融、高新技术、会展商贸等产业竞争力。支持港澳打造国际高端人才集聚高地。</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支持港澳更好融入和服务国家发展大局</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加强港澳与内地经贸、科技、人文等合作，完善便利港澳居民在内地发展和生活政策措施。有序推进与内地金融市场互联互通，深化与内地产学研创新协同。深化粤港澳合作，持续推动重点领域合作实现突破，促进港口、机场和轨道交通协同发展，建设广州至珠海（澳门）高铁，推进港深西部铁路前期工作。深化琴澳一体化发展，高质量建设前海、南沙、河套等重大合作平台。建设澳门国际机场横琴前置货站，推进澳琴国际教育（大学）城建设，支持澳门高校在横琴延伸办学。健全香港、澳门在国家对外开放中更好发挥作用机制，支持港澳深度参与高质量共建“一带一路”，发挥专业服务优势协助企业“走出去”。发挥港澳在中西文明交流互鉴中的重要窗口作用。</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第六十章  推动两岸关系和平发展、推进祖国统一大业</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深入贯彻新时代党解决台湾问题的总体方略，坚持一个中国原则和“九二共识”，坚决打击“台独”分裂势力，反对外部势力干涉，维护台海和平稳定，牢牢把握两岸关系主导权主动权，增进两岸同胞福祉，坚定守护中华民族共同家园。</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推动两岸经济合作</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持续出台实施惠及台胞台企的政策措施，引导台胞台企积极融入和服务构建新发展格局，支持台企扎根大陆发展，参与国家区域发展战略和共建“一带一路”，加强产业合作，打造两岸共同市场。支持福建高质量建设两岸融合发展示范区，推进平潭、昆山、东莞等两岸合作重点平台和海峡两岸产业合作区建设。支持建设多层次两岸金融市场，鼓励符合条件的台资企业在大陆上市。</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深化两岸交流</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完善促进两岸经济文化交流合作制度和政策，扩大两岸人员往来，推动两岸交流交往交融。深化两岸教育、医疗等领域合作和社会保障、公共资源共享。促进两岸文化交流，共同传承弘扬中华文化，增进台湾同胞的民族认同、文化认同、国家认同。加强青年、基层等方面交流，持续为台湾青年来大陆追梦筑梦圆梦创造更好条件。落实台湾同胞享受同等待遇政策，为台胞在大陆学习、工作、生活创造更好条件。团结广大台湾同胞，共创中华民族绵长福祉。</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第十八篇  加强规划实施保障</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和加强党的全面领导，持之以恒推进全面从严治党，增强党的政治领导力、思想引领力、群众组织力、社会号召力，提高党领导经济社会发展能力和水平，健全国家经济社会发展规划制度体系，为推进中国式现代化凝聚磅礴力量。</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第六十一章  坚持和加强党中央集中统一领导</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坚决维护党中央权威和集中统一领导，充分发挥党总揽全局、协调各方的领导核心作用，为推进规划实施提供根本保证。</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强化党对规划实施全过程的领导</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深入学习贯彻习近平新时代中国特色社会主义思想，持续用党的创新理论统一思想、统一意志、统一行动。完善党中央重大决策部署落实机制，加强规划实施的统筹协调和指导推动，形成分工明确、协同联动、广泛参与的规划实施工作格局，确保上下贯通、执行有力。健全和落实民主集中制，坚持科学决策、民主决策、依法决策。深入开展整治形式主义为基层减负工作。规划中期评估、总结评估情况和实施中的重大情况及时向党中央请示报告，各地区各部门要把规划目标任务落实情况作为重要工作内容向党中央报告。统筹推进各领域基层党组织建设，增强党组织政治功能和组织功能，发挥党员先锋模范作用。贯彻尊重劳动、尊重知识、尊重人才、尊重创造的方针，激发全社会干事创业、创新创造活力，形成人尽其才、才尽其用、万众一心、勠力进取的生动局面。</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全面增强干部队伍现代化建设能力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坚持正确用人导向，坚持把政治标准放在首位，建强领导班子和干部队伍。教育和引导各级干部树立和践行正确政绩观，坚持从实际出发、按规律办事，自觉为人民出政绩、以实干出政绩，以正确政绩观推动高质量、可持续的发展，以实绩实效回应人民群众新要求新期待。完善差异化考核评价体系，提高考核的针对性和科学性。强化教育培训和实践锻炼，提高干部队伍现代化建设本领。坚持严管厚爱结合、激励约束并重，激发干部队伍内生动力和整体活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完善党和国家监督体系</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以更高标准、更实举措推进全面从严治党，健全党统一领导、全面覆盖、权威高效的监督体系，加强对权力配置、运行的规范和监督，健全授权用权制权相统一、清晰透明可追溯的制度机制，增强法规制度执行力，营造风清气正的政治生态。强化全面从严治党政治责任，推进政治监督具体化精准化常态化，发挥政治巡视利剑作用。锲而不舍落实中央八项规定精神，狠刹各种不正之风，推进作风建设常态化长效化。保持反腐败永远在路上的清醒坚定，一体推进不敢腐、不能腐、不想腐，着力铲除腐败滋生的土壤和条件，坚决打好反腐败斗争攻坚战、持久战、总体战，坚定不移走好中国特色反腐败之路。严肃查处政商勾连破坏政治生态和经济发展环境问题，严查权力集中、资金密集、资源富集领域腐败，有效防治新型腐败和隐性腐败，持续深化整治群众身边不正之风和腐败问题。加强对“一把手”等“关键少数”和年轻干部等重点群体的监督，深化受贿行贿一起查。推进反腐败国家立法。以党内监督为主导，推动各类监督贯通协调，深化拓展纪检监察监督与审计监督、财会监督、统计监督等协作配合机制。加强反腐败国际合作，一体构建追逃防逃追赃机制，加大跨境腐败治理力度。深化纪检监察体制改革，加强纪检监察工作规范化法治化正规化建设。</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第六十二章  健全规划实施全周期推进机制</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实施国家发展规划法，健全统一规划体系，充分调动全社会积极性主动性创造性，有力有序推进各项目标任务实施，确保党中央决策部署落到实处。</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第一节  形成统一规划体系合力</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建立健全定位准确、边界清晰、功能互补、统一衔接的国家规划体系，为国家发展规划实施提供有效支撑。依据国家发展规划同步部署、同步编制、同步实施一批国家级重点专项规划、国家级区域实施方案。统筹各级各类规划编制，精简数量、提高质量，加强规划间衔接协调，防止规划过多过滥、缺乏实效。规范各类规划衔接报审程序，报请党中央、国务院批准的规划须经国务院发展改革部门与国家发展规划进行衔接，省级发展规划须按程序报送国务院发展改革部门进行衔接并做好落实。加强省级政府对市县规划编制的指导，确保重大产业、重大基础设施等布局符合国家战略重点。年度计划要滚动落实规划各项任务，将规划主要指标分解纳入年度计划指标体系并做好年度间综合平衡。完善国家发展规划法配套法规和政策制度体系，加强国家级专项规划规范管理，鼓励地方结合实际制定本地区发展规划条例。</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第二节  分类推进规划任务落实</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建立健全规划实施机制，明确目标任务分工，各地区各部门要制定可操作可评估的具体工作安排和推进措施，对约束性指标和公共服务、生态环保、安全保障等任务，强化责任分解落实；对预期性指标和产业发展、结构调整等任务，通过创造良好政策环境、体制环境和法治环境推进落实。细化重大工程项目清单，分类推进单体项目、打捆项目落地实施，“十五五”期间开展前期工作的项目，条件成熟的按程序推动开工建设。</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第三节  强化政策协同保障</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围绕实施国家发展规划，健全政策协调和工作协同机制。将国家发展规划作为宏观政策取向一致性评估的重要依据，确保各类政策发力方向符合国家发展规划要求。强化中期财政规划和年度预算安排对规划实施的财力保障，中央财政资金优先投向规划确定的重大战略任务、重大政策举措和重大工程项目。金融政策要积极支持规划确定的重点发展领域。坚持项目跟着规划走、资金和要素跟着项目走、监管跟着项目和资金走，加快规划确定的重大工程项目审批核准，优先保障规划选址、用地用海和资金需求，单体重大工程项目用地等要素需求由国家统一保障。加强对重大工程项目的伴随式穿透式监管和全过程全周期安全管理。</w:t>
      </w:r>
    </w:p>
    <w:p>
      <w:pPr>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lang w:val="en-US" w:eastAsia="zh-CN"/>
        </w:rPr>
      </w:pPr>
      <w:r>
        <w:rPr>
          <w:rFonts w:hint="eastAsia"/>
          <w:lang w:val="en-US" w:eastAsia="zh-CN"/>
        </w:rPr>
        <w:t>　　第四节  加强规划实施监测评估和监督</w:t>
      </w:r>
    </w:p>
    <w:p>
      <w:pPr>
        <w:keepNext w:val="0"/>
        <w:keepLines w:val="0"/>
        <w:pageBreakBefore w:val="0"/>
        <w:widowControl w:val="0"/>
        <w:kinsoku/>
        <w:wordWrap/>
        <w:overflowPunct/>
        <w:topLinePunct w:val="0"/>
        <w:autoSpaceDE/>
        <w:autoSpaceDN/>
        <w:bidi w:val="0"/>
        <w:adjustRightInd/>
        <w:snapToGrid/>
        <w:ind w:firstLine="440" w:firstLineChars="0"/>
        <w:textAlignment w:val="auto"/>
        <w:outlineLvl w:val="9"/>
        <w:rPr>
          <w:rFonts w:hint="eastAsia"/>
          <w:lang w:val="en-US" w:eastAsia="zh-CN"/>
        </w:rPr>
      </w:pPr>
      <w:r>
        <w:rPr>
          <w:rFonts w:hint="eastAsia"/>
          <w:lang w:val="en-US" w:eastAsia="zh-CN"/>
        </w:rPr>
        <w:t>开展规划实施情况动态监测、中期评估和总结评估，加强形势跟踪和风险研判，根据监测评估情况及时提出加强和改进规划实施的政策举措。经党中央同意后，中期评估情况依法向全国人民代表大会常务委员会报告，总结评估报告依法提交全国人民代表大会，自觉接受人大监督。经评估确需对本规划进行调整时，由国务院提出调整方案，报党中央同意后，提请全国人民代表大会常务委员会审查和批准。把完善党和国家监督体系融入规划实施之中，发挥纪检监察机关和审计机关等对规划实施的监督作用，健全跨地区跨部门重大任务落实协同监督机制。规划实施情况及时公开，接受社会各界监督。</w:t>
      </w:r>
    </w:p>
    <w:p>
      <w:pPr>
        <w:keepNext w:val="0"/>
        <w:keepLines w:val="0"/>
        <w:pageBreakBefore w:val="0"/>
        <w:widowControl w:val="0"/>
        <w:kinsoku/>
        <w:wordWrap/>
        <w:overflowPunct/>
        <w:topLinePunct w:val="0"/>
        <w:autoSpaceDE/>
        <w:autoSpaceDN/>
        <w:bidi w:val="0"/>
        <w:adjustRightInd/>
        <w:snapToGrid/>
        <w:ind w:firstLine="440" w:firstLineChars="0"/>
        <w:textAlignment w:val="auto"/>
        <w:outlineLvl w:val="9"/>
        <w:rPr>
          <w:rFonts w:hint="eastAsia"/>
          <w:lang w:val="en-US" w:eastAsia="zh-CN"/>
        </w:rPr>
      </w:pPr>
      <w:r>
        <w:rPr>
          <w:rFonts w:hint="eastAsia"/>
          <w:lang w:val="en-US" w:eastAsia="zh-CN"/>
        </w:rPr>
        <w:t>（来源：人民日报）</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sectPr>
          <w:pgSz w:w="11907" w:h="16840"/>
          <w:pgMar w:top="1440" w:right="1644" w:bottom="1440" w:left="1701" w:header="851" w:footer="992" w:gutter="0"/>
          <w:cols w:space="425" w:num="1"/>
          <w:docGrid w:type="lines" w:linePitch="312" w:charSpace="0"/>
        </w:sect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6"/>
          <w:szCs w:val="36"/>
          <w:shd w:val="clear" w:fill="FFFFFF"/>
          <w:lang w:val="en-US" w:eastAsia="zh-CN"/>
        </w:rPr>
      </w:pPr>
      <w:r>
        <w:rPr>
          <w:rFonts w:hint="default" w:ascii="微软雅黑" w:hAnsi="微软雅黑" w:eastAsia="微软雅黑" w:cs="微软雅黑"/>
          <w:b/>
          <w:i w:val="0"/>
          <w:caps w:val="0"/>
          <w:spacing w:val="8"/>
          <w:sz w:val="36"/>
          <w:szCs w:val="36"/>
          <w:shd w:val="clear" w:fill="FFFFFF"/>
          <w:lang w:val="en-US" w:eastAsia="zh-CN"/>
        </w:rPr>
        <w:t>政府工作报告</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0" w:afterAutospacing="0"/>
        <w:ind w:left="0" w:right="0" w:firstLine="0" w:firstLineChars="0"/>
        <w:jc w:val="center"/>
        <w:textAlignment w:val="auto"/>
        <w:outlineLvl w:val="9"/>
        <w:rPr>
          <w:rFonts w:hint="eastAsia" w:ascii="仿宋_GB2312" w:hAnsi="仿宋_GB2312" w:eastAsia="仿宋_GB2312" w:cs="仿宋_GB2312"/>
          <w:i w:val="0"/>
          <w:caps w:val="0"/>
          <w:color w:val="auto"/>
          <w:spacing w:val="0"/>
          <w:sz w:val="27"/>
          <w:szCs w:val="27"/>
        </w:rPr>
      </w:pPr>
      <w:r>
        <w:rPr>
          <w:rStyle w:val="20"/>
          <w:rFonts w:hint="eastAsia" w:ascii="仿宋_GB2312" w:hAnsi="仿宋_GB2312" w:eastAsia="仿宋_GB2312" w:cs="仿宋_GB2312"/>
          <w:i w:val="0"/>
          <w:caps w:val="0"/>
          <w:color w:val="auto"/>
          <w:spacing w:val="0"/>
          <w:sz w:val="27"/>
          <w:szCs w:val="27"/>
        </w:rPr>
        <w:t>——2026年3月5日在第十四届全国人民代表大会第四次会议上</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0" w:afterAutospacing="0"/>
        <w:ind w:left="0" w:right="0" w:firstLine="0" w:firstLineChars="0"/>
        <w:jc w:val="center"/>
        <w:textAlignment w:val="auto"/>
        <w:outlineLvl w:val="9"/>
        <w:rPr>
          <w:rFonts w:hint="eastAsia"/>
          <w:kern w:val="0"/>
          <w:lang w:val="en-US" w:eastAsia="zh-CN"/>
        </w:rPr>
      </w:pPr>
      <w:r>
        <w:rPr>
          <w:rFonts w:hint="eastAsia" w:ascii="仿宋_GB2312" w:hAnsi="仿宋_GB2312" w:eastAsia="仿宋_GB2312" w:cs="仿宋_GB2312"/>
          <w:i w:val="0"/>
          <w:caps w:val="0"/>
          <w:color w:val="auto"/>
          <w:spacing w:val="0"/>
          <w:sz w:val="27"/>
          <w:szCs w:val="27"/>
        </w:rPr>
        <w:t>国务院总理　李强</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各位代表：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  现在，我代表国务院，向大会作政府工作报告，请予审议，并请全国政协委员提出意见。</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  一、2025年工作回顾</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2025年是很不平凡的一年。党的二十届四中全会胜利召开，擘画了未来五年我国发展的宏伟蓝图。我们隆重纪念中国人民抗日战争暨世界反法西斯战争胜利80周年，设立台湾光复纪念日，极大振奋民族精神、激发爱国热情、凝聚奋斗力量。面对国内外形势深刻复杂的变化，以习近平同志为核心的党中央团结带领全国各族人民迎难而上、奋力拼搏，坚定不移贯彻新发展理念、推动高质量发展，统筹国内国际两个大局，全年经济社会发展主要目标任务顺利完成，“十四五”圆满收官，中国式现代化迈出新的坚实步伐。</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一年来，我国经济顶压前行、展现强大韧性。经济运行总体平稳、稳中有进，国内生产总值增长5%，总量达到140.19万亿元。就业总体稳定，城镇新增就业1267万人，城镇调查失业率平均为5.2%。对外贸易较快增长，出口多元化成效明显，国际收支基本平衡。民生保障更加有力，居民收入增长和经济增长同步，脱贫攻坚成果巩固拓展，实施学前一年免费教育政策、惠及1400万儿童，全面实施育儿补贴制度、惠及3000多万婴幼儿。粮食产量达到1.43万亿斤。重点领域风险化解取得积极进展，社会大局保持稳定。</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一年来，我国发展向新向优、彰显蓬勃活力。新质生产力稳步发展，科技创新成果丰硕，人工智能、生物医药、机器人、量子科技等研发应用走在世界前列，芯片自主研发有了新突破，天问二号开启“追星”之旅，北斗规模应用全面拓展，雅下水电工程开工建设，首艘国产电磁弹射型航母福建舰正式入列，国产大模型引领全球开源生态。产业结构持续优化，高技术制造业、装备制造业增加值分别增长9.4%、9.2%，工业机器人、集成电路产量分别增长28%、10.9%，新能源汽车年产量超过1600万辆，电动汽车充电设施突破2000万个。单位国内生产总值能耗降低5.1%，生态环境质量持续改善。</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过去一年取得的成绩来之不易。我们面对的是多年少有的外部冲击挑战和国内两难多难问题交织叠加的复杂严峻形势。国际经贸环境急剧变化，单边主义、保护主义陡然升级，市场预期受到频繁扰动，对外贸易明显承压。国内经济深刻转型，深层次结构性矛盾问题持续显现，消费、投资增长动力不足。以习近平同志为核心的党中央带领我们沉着应对、勇毅前行，对外有理有力有效开展经贸斗争，坚定维护我国利益，中美5轮经贸磋商取得积极成果，两国元首釜山会晤达成重要共识，为经贸合作注入更多稳定性；对内打好政策“组合拳”，加强宏观政策逆周期调节，着力稳就业、稳企业、稳市场、稳预期，集中力量办好自己的事。我们从最坏处打算，向最好处努力，不仅稳住了宏观经济大盘，推动高质量发展取得新成效，而且极大提振了全社会的士气和信心。在这个过程中，我们进一步认识到，做好新形势下经济工作必须充分挖掘经济潜能、必须坚持政策支持和改革创新并举、必须做到既“放得活”又“管得好”、必须坚持投资于物和投资于人紧密结合、必须以苦练内功来应对外部挑战。实践再次证明，坚持党中央集中统一领导是应对一切困难、做好各项工作的根本保证，中国人民有信心有智慧有力量战胜一切艰难险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  我们深入学习贯彻习近平新时代中国特色社会主义思想，全面贯彻落实党的二十大和二十届历次全会精神，按照党中央决策部署，一年来主要做了以下工作。</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一是实施更加积极有为的宏观政策，着力稳定经济运行。年初我们就做好了应对复杂多变局面的充分准备，一季度经济起势有力、开局良好。二季度以后，针对经济运行中的新情况特别是美国加征关税冲击，充分发挥存量政策作用，加力推出稳就业稳经济等一系列新举措，有力对冲了经济下行压力，保障了全年主要目标实现。实施更加积极的财政政策和适度宽松的货币政策，扩大财政支出规模，加强重点领域财力保障，下调政策利率和存款准备金率，持续降低社会综合融资成本。加力扩围实施消费品以旧换新，带动商品销售额超过2.6万亿元，文旅体等服务消费潜力加快释放，社会消费品零售总额突破50万亿元。围绕扩大有效投资，加强“两重”项目建设，加快设备更新资金拨付使用，设备购置投资增长11.8%，设立新型政策性金融工具补充重点项目资本金。持续用力稳楼市，合理控制新增房地产用地供应，因城施策调减限制性措施，下调个人住房公积金贷款利率，“保交房”任务全面完成。综合施策稳股市，资本市场回稳回暖、交易活跃。深入实施一揽子化债方案，有序置换地方政府存量隐性债务，持续压减融资平台数量，地方债务结构不断优化。一体推进地方中小金融机构风险处置和转型发展，高风险机构数量大幅下降，风险化解成效明显。</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二是坚持创新驱动发展，建设现代化产业体系。全面推进科技强国建设战略部署，强化国家战略科技力量建设，完善区域科技创新体系，加强基础前沿领域体系化布局和关键核心技术攻关。全社会研发经费投入强度达到2.8%，技术合同成交额增长10.8%。科技创新和产业创新融合加快，传统产业转型升级不断深入，新兴产业、未来产业蓬勃发展，现代服务业保持快速发展势头。聚焦重点领域制定修订583项国家标准。持续推进制造业数字化转型和“人工智能+”行动，行业应用加快落地，新型智能终端不断涌现。数据要素潜力加快释放，数字经济核心产业增加值占国内生产总值的比重提高到10.5%以上。</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三是进一步深化改革开放，畅通国民经济循环。扎实落实党的二十届三中全会改革部署。实施全国统一大市场建设指引，出台新版市场准入负面清单，系统整治招标投标、招商引资领域突出问题，推进重点行业产能治理，综合整治“内卷式”竞争成效显现。开展要素市场化配置综合改革试点。国有企业改革深化提升行动取得积极成效，出台进一步促进民间投资发展的措施。加快加力清理拖欠企业账款。有序推进自主开放、单边开放，稳步扩大单方面免签或全面互免签证。加大稳外贸力度，进出口量稳质升，出口增长6.1%。出台稳外资行动方案，新设外资企业数量增长19.1%。实施自由贸易试验区提升战略，海南自由贸易港启动全岛封关运作。扎实推进高质量共建“一带一路”，各领域务实合作水平不断提升。</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四是统筹推进新型城镇化和乡村全面振兴，促进城乡区域协调发展。贯彻中央城市工作会议部署，培育发展现代化都市圈，加强城市规划建设治理，持续实施城市更新，落实好农业转移人口市民化政策，开展新型城镇化试点，常住人口城镇化率达到67.9%。着力稳面积、提单产、抗灾害，再夺粮食丰收。扎实做好巩固拓展脱贫攻坚成果同乡村振兴有效衔接，脱贫人口务工就业规模稳定在3000万人以上。加大区域战略实施力度，区域联动发展水平不断提升。</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五是切实抓好民生保障，积极发展社会事业。出台稳就业支持政策，开展大规模职业技能提升培训行动，重点群体就业保持稳定。推进教育强国建设三年行动计划，推动高校学科专业调整，加强县域普通高中建设。实施医疗卫生强基工程。完善儿科和精神卫生服务体系，全国二三级公立综合医院儿科服务实现全覆盖。有效防控基孔肯雅热等传染病疫情。健全基本医保参保长效机制，优化医药集采措施，推出商业健康保险创新药目录，长期护理保险制度覆盖3亿人。渐进式延迟法定退休年龄改革稳妥实施。城乡居民基础养老金月最低标准提高20元，在全国实施个人养老金制度，开展养老服务消费补贴试点。持续推进社会救助扩围增效，加强重度残疾人托养照护，完善困境儿童福利保障措施。提高优抚标准。发展文化事业和文化产业，旅游业活力显现，国内出游人次增长16.2%，入境旅游人次增长17.1%。成功举办第九届亚洲冬季运动会、第十五届全国运动会，群众体育赛事和全民健身活动蓬勃开展。</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六是加快美丽中国建设，推动绿色低碳发展。扎实开展大气污染防治提质增效行动，地级及以上城市细颗粒物（PM2.5）平均浓度下降4.4%。持续加强大江大河和重要湖库保护，地表水水质优良断面比例提高到91.4%。实施生物多样性保护重大工程，生态系统整体质量与稳定性进一步提升。启动实施美丽中国先行区建设。加快重点行业绿色低碳转型。第一批“沙戈荒”新能源基地项目基本建成投产，新型储能装机规模超过1.3亿千瓦，非化石能源消费占比达到21.7%。宣布应对气候变化2035年国家自主贡献目标，充分展现负责任大国担当。</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七是持续加强政府建设，创新和完善社会治理。贯彻落实党中央全面从严治党战略部署，扎实开展深入贯彻中央八项规定精神学习教育，加强党风廉政建设和反腐败斗争，大力整治形式主义为基层减负。深入推进法治政府建设，提请全国人大常委会审议法律议案13件，制定修订行政法规30部。自觉依法接受监督。认真办理人大代表议案、建议和政协委员提案。开展规范涉企行政执法专项行动。健全“高效办成一件事”重点事项常态化推进机制。开展推动高质量发展综合督查。加强城乡基层治理。做好新就业群体服务管理。提升信访工作法治化水平。持续推进安全生产治本攻坚三年行动，生产安全事故总起数下降8.7%。有效应对部分地区洪涝、干旱、台风、地震等自然灾害。全力维护国家安全和社会稳定，积极预防、依法打击各类违法犯罪活动，平安中国建设取得新进展。</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过去一年，中国特色大国外交取得新成效。习近平主席等党和国家领导人出访多国，出席中国－中亚峰会、亚太经合组织领导人非正式会议、金砖国家领导人线上峰会、二十国集团领导人峰会等重大多双边活动。成功举办上海合作组织天津峰会、全球妇女峰会、中拉论坛第四届部长级会议等重大主场外交活动。坚决反对保护主义和单边霸凌行径，坚定维护多边主义和开放合作，坚定捍卫二战胜利成果，提出全球治理倡议，推动构建人类命运共同体，在应对全球性挑战和解决国际地区热点问题中发挥积极建设性作用。中国为促进世界和平与发展作出了重要贡献。</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2025年是“十四五”收官之年。过去5年，以习近平同志为核心的党中央团结带领全国各族人民，有效应对世纪疫情等超乎寻常的冲击挑战，推动党和国家事业取得新的重大成就，第二个百年奋斗目标新征程实现良好开局。经济总量实现新跃升，国内生产总值连续跨越110万亿元、120万亿元、130万亿元、140万亿元台阶，年均增长5.4%、明显高于全球平均增速。科技和产业创新取得新突破，全社会研发经费投入年均增长10%，每万人口高价值发明专利拥有量达到16件，攻克一批重大关键核心技术，制造业增加值规模连续16年保持全球第一，产业链供应链韧性和安全水平稳步提升。改革开放迈出新步伐，重点领域改革扎实推进，全国统一大市场加快构建，高水平对外开放不断扩大，制造业领域外资准入限制措施全部取消，货物贸易第一大国地位更加巩固，高质量共建“一带一路”走深走实。民生福祉达到新水平，居民人均可支配收入年均增长5.4%，城镇新增就业累计超过6000万人，巩固拓展脱贫攻坚成果同乡村振兴有效衔接5年过渡期任务圆满完成，脱贫地区农村居民收入增速持续高于全国农村平均水平，基本养老保险全国统筹稳步实施，劳动年龄人口平均受教育年限增加到11.3年，人均预期寿命提高到79.25岁，人民群众文化生活更加丰富多彩。生态文明建设取得新进步，地级及以上城市空气质量优良天数比例提高到89.3%，森林覆盖率提高到25%以上，成为全球森林资源增长最快最多的国家，构建起全球最大、发展最快的可再生能源体系。安全保障能力实现新提升，粮食、能源资源、金融、网络等重点领域安全能力建设明显加强，社会大局保持稳定，牢牢守住了不发生系统性风险底线。经过艰苦奋斗、不懈努力，“十四五”规划《纲要》确定的20项主要指标、17方面重大战略任务、102项重大工程项目胜利完成。</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这些重大成就的取得，根本在于以习近平同志为核心的党中央领航掌舵，在于习近平新时代中国特色社会主义思想科学指引，是全党全军全国各族人民团结奋斗的结果。我代表国务院，向全国各族人民，向各民主党派、各人民团体和各界人士，表示衷心感谢！向香港特别行政区同胞、澳门特别行政区同胞、台湾同胞和海外侨胞，表示衷心感谢！向关心和支持中国现代化建设的各国政府、国际组织和各国朋友，表示衷心感谢！</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在肯定成绩的同时，我们也清醒看到面临的困难和挑战。外部环境变化影响加深，地缘政治风险持续上升，世界经济动能疲弱，多边主义、自由贸易受到严重冲击。国内经济发展和转型中面临的老问题、新挑战仍然不少。新旧动能转换任务艰巨，供强需弱矛盾突出，市场预期偏弱，重点领域风险隐患较多。一些企业经营困难，群众就业和增收难度加大，部分地方财政收支矛盾突出，房地产市场仍在调整。公共服务仍有不少短板弱项。政府工作存在不足，一些政策实施效果仍待提高，一些干部抓高质量发展的能力不足、办法不多，有的政绩观存在偏差，不作为、乱作为、假作为，搞表面文章，一些领域和地方腐败问题依然多发。困难不容忽视，信心必须坚定。我国经济长期向好的支撑条件和基本趋势没有改变，制度优势和大国优势不断彰显。经历了风雨洗礼，我们的意志更加坚强、步伐更加坚定，只要用足用好优势、妥善应对挑战，我国的发展前景一定更加可期！</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  二、“十五五”时期主要目标和重大任务</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根据《中共中央关于制定国民经济和社会发展第十五个五年规划的建议》，国务院编制了《中华人民共和国国民经济和社会发展第十五个五年规划纲要（草案）》，提交大会审查。这里就主要目标指标、重大战略任务、重大工程项目作简要报告。</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  （一）关于主要目标指标</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贯彻落实党中央《建议》明确的主要目标，《纲要（草案）》细化提出20项主要指标。经济发展方面，围绕增长、结构、效率提出3项指标。其中，综合考虑国内外形势和各方面因素，兼顾需要与可能，提出国内生产总值增长保持在合理区间、各年度视情提出，为到2035年人均国内生产总值比2020年翻一番、达到中等发达国家水平打好基础。创新驱动方面，围绕创新投入及其成效提出3项指标。其中，充分考虑研发投入增长趋势和企业投入能力，提出全社会研发经费投入年均增长7%以上，与“十四五”规划目标保持一致，确保研发投入力度不减。民生福祉方面，为更好解决人民群众急难愁盼问题，针对性提出就业、收入、教育、医疗、健康、“一老一小”等7项指标。绿色低碳方面，围绕降碳减污、生态环保等提出5项指标。其中，根据国家自主贡献目标，提出单位国内生产总值二氧化碳排放累计降低17%，继续推动重点领域绿色低碳转型。安全保障方面，围绕粮食、能源生产能力提出2项指标，着力夯实国家安全重要基础保障。</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  （二）关于重大战略任务</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  《纲要（草案）》分领域阐述了“十五五”发展的重大战略任务，突出体现四个方面。</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一是突出推动高质量发展。发展新质生产力是高质量发展的内在要求。《纲要（草案）》强调科技创新的引领作用，着眼巩固壮大实体经济根基，构建以先进制造业为骨干的现代化产业体系。着眼高水平科技自立自强，加强原始创新和关键核心技术攻关，深入推进数字中国建设，数字经济核心产业增加值占国内生产总值比重达到12.5%。着眼建设美丽中国，持续深入推进污染防治攻坚和生态系统优化，加快形成绿色生产生活方式，确保碳达峰目标如期实现。</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二是突出做强国内大循环。在外部环境复杂严峻的情况下，必须坚持扩大内需这个战略基点。《纲要（草案）》着眼增强国内大循环内生动力和可靠性，坚持惠民生和促消费、投资于物和投资于人紧密结合，大力提振消费，促进居民消费率明显提高，扩大有效投资。着眼充分释放我国超大规模市场红利，纵深推进全国统一大市场建设，破除地方保护和市场分割。着眼增强高质量发展动力，充分激发各类经营主体活力，加快完善要素市场化配置体制机制。着眼畅通国内国际双循环，统筹用好全球要素和市场资源。</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三是突出推进全体人民共同富裕。中国式现代化是全体人民共同富裕的现代化。《纲要（草案）》着眼人口高质量发展，建设生育友好型社会，健全人口服务体系；办好人民满意的教育，劳动年龄人口平均受教育年限提高到11.7年；加快建设健康中国和体育强国，人均预期寿命提高到80岁；积极应对人口老龄化，养老机构护理型床位占比提高到73%；促进高质量充分就业，完善收入分配制度，健全社会保障体系。着眼缩小区域差距和城乡差别，加快农业农村现代化，持续巩固拓展脱贫攻坚成果，优化重大生产力布局，深入推进以人为本的新型城镇化。着眼促进人民精神生活共同富裕，弘扬和践行社会主义核心价值观，大力繁荣文化事业，加快发展文化产业，提升中华文明传播力影响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四是突出统筹发展和安全。安全是发展的前提，发展是安全的保障。《纲要（草案）》贯彻总体国家安全观，着眼推进国家安全体系和能力现代化提出多项任务举措。增强粮食、能源资源等供给保障能力，粮食综合生产能力达到1.45万亿斤左右，能源综合生产能力达到58亿吨标准煤。统筹推进房地产、地方政府债务、地方中小金融机构等风险有序化解。提高公共安全治理水平，有效维护社会安全稳定。</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  （三）关于重大工程项目</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围绕推动“十五五”目标任务落实落地，统筹考虑战略性、牵引性和连续性，《纲要（草案）》提出6方面109项重大工程。引领新质生产力发展方面，围绕产业基础能力和竞争力提升、新产业新赛道培育发展、前沿科技攻关、创新基础能力提升提出28项工程。构建现代化基础设施体系方面，围绕国家综合立体交通网、新型能源体系、新型基础设施、对外开放平台等提出23项工程。促进城乡融合发展方面，围绕新型城镇化建设、农业农村现代化建设提出9项工程。保障和改善民生方面，围绕社会主义文化繁荣发展、高质量教育体系建设、健康中国建设、优化“一老一小”服务、社会关爱服务提出25项工程。推动绿色低碳转型方面，围绕碳达峰碳中和、环境质量提升、生态保护修复提出18项工程。重点领域安全保障方面，围绕粮食、能源安全等提出6项工程。这些重大工程兼顾当前和长远，既涉及“硬投资”也包含“软建设”。我们将注重以政府投资带动社会力量参与，更好发挥重大工程项目强基础、补短板、增后劲等重要作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  展望未来，我们充满信心。在以习近平同志为核心的党中央坚强领导下，全国上下团结奋斗，一定能够把“十五五”宏伟蓝图变成美好现实。</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  三、2026年经济社会发展总体要求和政策取向</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今年是“十五五”开局之年。做好政府工作，要在以习近平同志为核心的党中央坚强领导下，以习近平新时代中国特色社会主义思想为指导，深入贯彻党的二十大和二十届历次全会精神，认真落实党的二十届四中全会和中央经济工作会议部署，完整准确全面贯彻新发展理念，加快构建新发展格局，着力推动高质量发展，坚持稳中求进工作总基调，统筹国内国际两个大局，更好统筹发展和安全，实施更加积极有为的宏观政策，增强政策前瞻性针对性协同性，持续扩大内需、优化供给，做优增量、盘活存量，因地制宜发展新质生产力，纵深推进全国统一大市场建设，持续防范化解重点领域风险，着力稳就业、稳企业、稳市场、稳预期，推动经济实现质的有效提升和量的合理增长，保持社会和谐稳定，实现“十五五”良好开局。</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今年发展主要预期目标是：经济增长4.5%－5%，在实际工作中努力争取更好结果；城镇调查失业率5.5%左右，城镇新增就业1200万人以上；居民消费价格涨幅2%左右；居民收入增长和经济增长同步；国际收支基本平衡；粮食产量1.4万亿斤左右；单位国内生产总值二氧化碳排放降低3.8%左右。</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提出这些预期目标，主要考虑是开局之年为调结构、防风险、促改革留出空间，为后期更好发展打牢基础。经济增长目标同2035年远景目标总体衔接，与我国经济长期增长潜力基本吻合，实现这个目标具备有利条件，各地区要结合实际，通过扎实工作争取好的结果。城镇调查失业率5.5%左右，体现了在就业总量和结构性压力较大的情况下，坚持就业优先政策导向和加大稳就业力度的要求。居民消费价格涨幅2%左右，考虑了预期引导和现实可能，我们将通过改善总供求关系，推动价格总水平由负转正、消费价格合理温和回升，促进经济良性循环。单位国内生产总值二氧化碳排放降低3.8%左右，综合考虑了经济社会发展、绿色低碳转型和国家能源安全等多种需要，有利于有序实现2030年前碳达峰目标。</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  在政策取向上，我们将坚持稳中求进、提质增效，发挥存量政策和增量政策集成效应，加大逆周期和跨周期调节力度，切实提升宏观经济治理效能。</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继续实施更加积极的财政政策。今年赤字率拟按4%左右安排，赤字规模5.89万亿元、比上年增加2300亿元。一般公共预算支出规模将首次达到30万亿元、比上年增加约1.27万亿元。拟发行超长期特别国债1.3万亿元，持续支持“两重”建设、“两新”工作等。拟发行特别国债3000亿元，支持国有大型商业银行补充资本。拟安排地方政府专项债券4.4万亿元，完善专项债券项目负面清单管理和自审自发试点，重点支持建设重大项目、置换隐性债务、消化政府拖欠账款等。今年财政支出继续保持相当规模，要持续用力优化支出结构，更加注重支持提振消费、投资于人、保障民生等方面，提高财政资金使用效益。中央财政增加对地方财力性转移支付规模，开展整合统筹使用转移支付资金试点，增强地方自主财力和统筹能力。压实分级保障主体责任，兜牢基层“三保”底线。各级政府要更好“当家理财”，建立健全增收节支机制，积极盘活利用存量资源资产，严肃财经纪律，强化预算约束，严控一般性支出，坚决落实过紧日子的要求，务必把省下来的每一分钱都用到发展的关键点、群众的急需处。</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继续实施适度宽松的货币政策。把促进经济稳定增长、物价合理回升作为货币政策的重要考量，灵活高效运用降准降息等多种政策工具，保持流动性充裕，使社会融资规模、货币供应量增长同经济增长、价格总水平预期目标相匹配。优化创新结构性货币政策工具，适当增加规模，完善实施方式。畅通货币政策传导机制，充分发挥数据要素、知识产权等无形资产作用，强化考核评估、融资担保、风险补偿等支持措施，引导金融机构加力支持扩大内需、科技创新、中小微企业等重点领域。规范信贷市场经营行为，降低融资中间费用，促进社会综合融资成本低位运行。保持人民币汇率在合理均衡水平上的基本稳定。</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强化改革举措与宏观政策协同。推动高质量发展，既要政策给力，也要改革发力。要用改革的办法打通经济循环的卡点堵点，将政策效果转化为经济内生增长动能。增强宏观政策取向一致性和有效性，将各类经济政策和非经济政策、存量政策和增量政策纳入宏观政策取向一致性评估，使各类政策措施同向发力、形成合力。加强财政、金融、就业、产业等政策协同，深入挖掘政策结合点，创新实施工具，持续放大“组合拳”效应。健全预期管理机制，提振社会信心。</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  四、2026年政府工作任务</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  党中央对今年工作作出了全面部署，我们要深入贯彻落实，扎实做好各项工作。</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  （一）着力建设强大国内市场。坚持内需主导，统筹促消费和扩投资，拓展内需增长新空间，更好发挥我国超大规模市场优势。</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深入实施提振消费专项行动。激发居民消费内生动力和促消费政策并举，推动消费持续增长。制定实施城乡居民增收计划，在促进低收入群体增收、增加居民财产性收入、完善薪酬和社保制度等方面推出一批务实举措。促进商品消费扩容升级，安排超长期特别国债2500亿元支持消费品以旧换新，优化政策实施机制。设立1000亿元财政金融协同促内需专项资金，组合运用贷款贴息、融资担保、风险补偿等方式，支持扩大内需。扩大个人消费贷款和服务业经营主体贷款贴息政策支持领域，提高贴息上限，延长实施期限。实施好一次性信用修复政策。实施服务消费提质惠民行动，打造一批带动面广、显示度高的消费新场景，加快培育消费新增长点。活跃线下消费，激发下沉市场消费活力。清理消费领域不合理限制措施，释放文旅、赛事、康养等领域消费潜力。支持有条件的地方推广中小学春秋假，落实职工带薪错峰休假制度。加强消费者权益保护。优化入境消费环境，打造“购在中国”品牌。</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充分挖掘释放有效投资潜力。聚焦新质生产力、新型城镇化、人的全面发展等重点领域，增强市场主导的有效投资增长动力，提高民生类政府投资比重。今年拟安排中央预算内投资7550亿元，安排8000亿元超长期特别国债资金用于“两重”建设，分类提高中央投资补助标准。单列并提高用于项目建设的地方政府专项债券额度，继续向投资项目准备充分、资金用得好的地方倾斜。发行新型政策性金融工具8000亿元，带动更多社会资本参与投资。统筹用好各类政府投资资金，支持工作基础较好的地方探索编制全口径政府投资计划，加强项目资金监管，坚决防止低效无效投资。落实促进民间投资的政策措施，完善民营企业参与重大项目建设长效机制，引导民间投资向高技术、现代服务业等新赛道拓展，有效激发民间投资活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  （二）加紧培育壮大新动能。坚持把发展经济的着力点放在实体经济上，因地制宜发展新质生产力，建设现代化产业体系。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优化提升传统产业。持续推进重点产业提质升级，新部署一批重大技术改造升级项目，安排2000亿元超长期特别国债资金支持大规模设备更新。实施新一轮制造业重点产业链高质量发展行动，强化产业基础再造和重大技术装备攻关，打造一批国家先进制造业集群。推行普惠性“上云用数赋智”服务，持续加大对中小企业数智化转型的支持。拓展智能制造，新建设一批智能工厂和智慧供应链。发展智能建造，培育现代化建筑产业链。加快推进标准升级，强化质量监督和品牌建设，支持企业提供更加优质、更具特色的产品。</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培育壮大新兴产业和未来产业。实施产业创新工程，鼓励央企国企带头开放应用场景，打造集成电路、航空航天、生物医药、低空经济等新兴支柱产业。建立未来产业投入增长和风险分担机制，培育发展未来能源、量子科技、生物制造、具身智能、脑机接口、6G等未来产业。构建促进专精特新中小企业发展壮大机制，培育独角兽企业。高效用好国家创业投资引导基金，大力发展创业投资、天使投资，政府投资基金要带头做耐心资本，推动更多初创企业加快成长为科技领军企业。</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扩能提质服务业。深化先进制造业和现代服务业融合发展试点。壮大科技服务市场，促进软件服务价值提升。发展金融、信息技术、现代物流、知识产权、检验检测等生产性服务业。促进生活性服务业高品质、多样化、便利化发展。有序放宽服务业准入限制，扩大重点领域服务业投资。健全服务业国家标准，培育“中国服务”品牌。</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打造智能经济新形态。深化拓展“人工智能+”，促进新一代智能终端和智能体加快推广，推动重点行业领域人工智能商业化规模化应用，培育智能原生新业态新模式。支持人工智能开源社区建设，促进开源生态繁荣。实施超大规模智算集群、算电协同等新基建工程，加强全国一体化算力监测调度，支持公共云发展。加快发展卫星互联网。打造“5G+工业互联网”升级版。深化数据资源开发利用，健全数据要素基础制度，建设高质量数据集。完善人工智能治理。</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  （三）加快高水平科技自立自强。抓住新一轮科技革命和产业变革历史机遇，全面增强自主创新能力，为高质量发展提供科技支撑。</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加强原始创新和关键核心技术攻关。发挥新型举国体制优势，全链条推进关键核心技术攻关，组织实施好重大科技项目，强化战略前沿领域布局，产出更多原创性成果。继续提高基础研究投入比重，加大长期稳定支持。统筹国家战略科技力量建设，深化科研院所改革，加强国家实验室和重大科技任务、重大科技基础设施统筹部署，全面强化科技基础条件自主保障。加强科学技术普及，提高全民科学素养。弘扬科学家精神，深化科技评价体系改革，优化有利于原创性、颠覆性创新的环境。</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推动科技创新和产业创新深度融合。建设北京（京津冀）、上海（长三角）、粤港澳大湾区国际科技创新中心，打造世界级科技创新策源地。强化企业创新主体地位，支持科技领军企业牵头组建创新联合体，提高承担国家重大科技项目比例。加强中试验证平台建设，完善新兴领域知识产权保护制度，加快重大科技成果高效转化应用。加强科技创新全链条全生命周期金融服务，对关键核心技术领域的科技型企业，常态化实施上市融资、并购重组“绿色通道”机制，以科技金融支持创新创造。</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一体推进教育科技人才发展。建立健全一体推进的协调机制，强化规划衔接、政策协同、资源统筹、评价联动。完善人才培养与经济社会发展需要适配机制，分类推进高校改革，动态调整学科专业，启动新一轮“双一流”建设，建设国家交叉学科中心，加大拔尖创新人才自主培养力度。加快建设国家战略人才力量，加强一流科技领军人才和青年人才引育，推进卓越工程师、大国工匠、高技能人才培养。建设一流产业技术工人队伍。高标准推进人才高地和人才平台建设，促进人才区域协调发展。深化人才发展体制机制改革，完善以创新能力、质量、实效、贡献为导向的评价体系，畅通人才交流通道，促进各类人才竞相成长、各展其能。</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  （四）持续深化重点领域改革。围绕构建高水平社会主义市场经济体制，强化改革攻坚，深入破除体制机制障碍，增强高质量发展动力活力。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纵深推进全国统一大市场建设。制定全国统一大市场建设条例。完善统计、财税、考核等制度，规范地方政府经济促进行为，出台地方政府招商引资鼓励和禁止事项清单，规范税收优惠、财政补贴政策。深化招标投标体制机制改革。加强反垄断、反不正当竞争，强化公平竞争审查刚性约束，综合运用产能调控、标准引领、价格执法、质量监管等手段，深入整治“内卷式”竞争，营造良好市场生态。深化要素市场化配置综合改革试点，将更多符合条件的地区纳入试点范围。深化综合交通运输体系改革，降低全社会物流成本。稳步推进公用事业和公共服务价格改革。</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推进财税金融体制改革。加大财政资源和预算统筹力度，提高国有资本收益收取比例。加强财政科学管理，深化零基预算改革，进一步扩大中央部门试点范围。健全地方税体系，拓展地方税源。调整优化消费税征税范围、税率，并推进部分品目征收环节后移。规范金融机构竞争秩序，深入推进地方中小金融机构减量提质。持续深化资本市场投融资综合改革，进一步健全中长期资金入市机制，完善投资者保护制度，拓展私募股权和创投基金退出渠道，提高直接融资、股权融资比重。</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充分激发各类经营主体活力。坚持和落实“两个毫不动摇”。制定和实施进一步深化国资国企改革方案，推进国有经济布局优化和结构调整。完善民营经济促进法配套法规政策，从法律和制度上保障平等使用生产要素、公平参与市场竞争、有效保护合法权益。完善中国特色现代企业制度。大力弘扬企业家精神，促进年轻一代企业家健康成长。推动平台企业和平台内经营者、劳动者共赢发展。分型分类精准帮扶个体工商户发展。下更大力气解决拖欠企业账款问题，健全长效机制。持续打造一流营商环境，更好支持企业安心经营、高质量发展。</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  （五）进一步扩大高水平对外开放。坚持合作共赢，稳步扩大制度型开放，拓展国际循环，以开放促改革促发展。</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积极扩大自主开放。以服务业为重点扩大市场准入和开放领域，进一步扩大增值电信、生物技术、外商独资医院等领域开放试点，有序扩大数字领域开放，压减跨境服务贸易负面清单。建好国家服务业扩大开放综合示范区。推动商签更多区域和双边贸易投资协定，积极推动加入《数字经济伙伴关系协定》和《全面与进步跨太平洋伙伴关系协定》进程。全面深入参与世贸组织改革，维护和发展开放型世界经济。优化自由贸易试验区布局范围、提升创新引领发展能级，扎实推进海南自由贸易港建设。</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推动外贸稳规模优结构。加大信贷、信保支持，扩大人民币跨境使用。引导企业优化全球市场布局，推进贸易投资一体化、内外贸一体化发展。培育壮大贸易发展新动能，推动跨境电商加海外仓模式扩容升级、规范有序发展，加强国际寄递物流体系建设，拓展中间品贸易，发展数字贸易、绿色贸易，提升边境贸易。鼓励支持服务出口。积极扩大进口，推进贸易平衡发展。提高跨境贸易便利化水平。</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扩大双向投资合作。深化外商投资促进体制机制改革，保障外资企业国民待遇，实施新版鼓励外商投资产业目录，促进外资境内再投资、扩大本地化生产。加强对外资企业的服务保障，擦亮“投资中国”名片。规范提升各类开发区、园区。引导产业链供应链合理有序跨境布局，完善海外综合服务体系，加强对外投资风险防控和海外利益保护。</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高质量共建“一带一路”。加强与共建国家战略对接，做实做细“硬联通”、“软联通”、“心联通”。统筹推进重大标志性工程和“小而美”民生项目建设。提升中欧中亚班列发展水平，加快西部陆海新通道建设。深入推进“智慧海关”合作伙伴计划。拓展新兴领域务实合作，让合作成果更多惠及各国人民。</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  （六）扎实推进乡村全面振兴。坚持把“三农”工作作为重中之重，深入学习运用“千万工程”经验，提高强农惠农富农政策效能，进一步夯实农业农村基础、提升发展质效。</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毫不放松抓好粮食生产。坚持产量产能、生产生态、增产增收一起抓，加力实施新一轮千亿斤粮食产能提升行动。稳定粮油生产，促进良田良种良机良法集成增效，推动大面积单产提高、品种培优、品质提升。巩固提升大豆油料产能，推动棉糖胶等稳产提质。坚持农林牧渔并举，增加多元食物供给。推进粮食节约减损。严守耕地红线，严格占补平衡管理，高质量推进高标准农田建设，加强黑土地保护和盐碱地综合利用，做好撂荒地复耕利用。制定促进农业保险发展的措施。提高农业综合防灾减灾能力。深入实施种业振兴行动，加快选育推广突破性品种，推进先进适用农机装备研发应用，打通农业科技推广“最后一公里”。统筹生产、收储等政策，促进粮食等重要农产品价格保持在合理水平，实施粮食产销区省际横向利益补偿，调动主产区和农民种粮积极性。各地区都要扛稳责任，共同端牢中国人的饭碗。</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实施常态化精准帮扶。持续巩固拓展脱贫攻坚成果，把常态化帮扶纳入乡村振兴战略统筹实施，守牢不发生规模性返贫致贫底线。保持帮扶政策总体稳定。合理确定防止返贫致贫对象认定标准，做好监测识别，确保早发现、早干预、早帮扶。提高产业、就业等开发式帮扶实效，发挥社会救助兜底保障作用。继续做好易地搬迁后续扶持。完善东西部协作、定点帮扶、驻村帮扶和消费帮扶等。分层分类帮扶欠发达地区，支持乡村振兴重点帮扶县加快发展，增强内生动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持续推进农村改革发展。全面开展第二轮土地承包到期后再延长30年整省试点，发展农业适度规模经营，发展新型农业经营主体，健全现代农业经营体系和社会化服务体系。支持发展新型农村集体经济。深化集体产权、集体林权、农垦、供销社等改革。开展第四次全国农业普查。推动城乡要素双向流动，深化农文旅等融合发展，培育壮大乡村特色产业，提高农产品精深加工水平，发展林下经济，完善联农带农机制，促进农民稳定增收。发展壮大乡村人才队伍。深化农村移风易俗，提升乡村治理和文明乡风建设水平。持续整治提升农村人居环境，以钉钉子精神解决好农村改厕、垃圾围村等问题。扎实推进全域土地综合整治。完善乡村建设实施机制，加快补齐农村现代生活条件短板，推进宜居宜业和美乡村建设。</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  （七）推动新型城镇化和区域协调发展。深入实施区域协调发展战略、区域重大战略、主体功能区战略和新型城镇化战略，构建优势互补、高质量发展的区域经济布局和国土空间体系。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深入推进以人为本的新型城镇化。科学有序推进农业转移人口市民化，因地制宜放宽在流入地参加中考报名条件，进一步完善“人地钱”挂钩政策。优化县域基础设施布局和公共资源配置，发展县域特色产业，推动县域经济高质量发展。坚持城市内涵式发展，优化现代化城市体系。高质量推进城市更新，稳步实施城镇老旧小区、城中村等改造。盘活利用存量土地和闲置房屋设施。加强城市基础设施生命线安全工程建设，提升高层建筑火灾防范和救援能力。加强适老化和无障碍改造。建设创新型产业社区、商务社区，推动城市治理智慧化精细化，建设现代化人民城市。</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不断增强区域发展协调性。优化主体功能区划，引导各地区围绕主体功能定位，更好发挥比较优势。扎实推动西部大开发形成新格局、东北全面振兴取得新突破、中部地区加快崛起、东部地区加快推进现代化。加强改革攻坚、政策赋能和要素保障，支持经济大省挑大梁。支持京津冀、长三角、粤港澳大湾区打造世界级城市群。高标准高质量推进雄安新区建设。持续推进长江经济带发展、黄河流域生态保护和高质量发展。提升成渝地区双城经济圈发展能级。推动长江中游城市群等加快发展。加强重点城市群协调联动，健全规划统筹、产业协作、利益共享等机制，实施国家产业转移发展提升工程，深化跨行政区合作。加大差异化政策支持力度，深入推进兴边富民行动，促进革命老区、民族地区、边疆地区、资源枯竭城市等振兴发展。加强主要海湾整体规划，做强做优做大海洋产业。</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  （八）更大力度保障和改善民生。坚持民生为大，加强普惠性、基础性、兜底性民生建设，努力为人民群众多办实事。</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促进高质量充分就业。加大各类政策对就业的支持力度，构建就业友好型发展方式。延续实施稳岗返还、社保补贴、专项贷款等阶段性措施，进一步增加以工代赈投资规模。实施稳岗扩容提质行动，支持劳动密集型行业企业稳定岗位，围绕发展新兴产业、未来产业培育新职业新岗位，增强服务业带动就业能力。制定高校毕业生等青年就业支持政策，强化农民工稳岗帮扶，做好退役军人安置和就业服务，加强困难人员就业援助，出台支持灵活就业人员、新就业形态人员参加职工保险的政策。发挥创业担保贷款贴息等政策作用，加强创业支持引导。完善适应人工智能技术发展促进就业创业的措施。全面落实农民工工资支付保障制度，加强就业歧视治理，坚决维护劳动者合法权益。持续开展大规模职业技能提升培训，让更多劳动者拥有一技之长，更好就业增收。</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推动教育公平与质量提升。实施新时代立德树人工程，促进思政课堂和社会课堂有效融合。适应学龄人口结构变化，推进教育资源布局结构调整。推动基础教育扩优提质，统筹义务教育优质均衡发展、学前教育优质普惠发展，完善免费学前教育政策，增加普通高中学位供给。持续扩大优质本科教育招生规模。提升职业学校办学能力，建设特色鲜明高职院校。办好特殊教育、专门教育，提升终身学习公共服务水平，引导规范民办教育发展。弘扬教育家精神，建设高素质专业化教师队伍，加强师德师风建设，强化教师待遇保障。全面推进健康学校建设，加强体育、美育、劳动教育和心理健康教育，健全学校家庭社会协同育人机制，促进学生身心健康、全面发展。</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强化基本医疗卫生服务。实施健康优先发展战略，健全健康促进政策制度体系，普及健康知识，提升爱国卫生运动成效，强化公共卫生能力。健全医疗、医保、医药协同发展和治理机制，深化以公益性为导向的公立医院改革，加强县区、基层医疗机构运行保障。强化薄弱专科建设，加强慢性病、罕见病综合防治，全方位提升急诊急救、血液保障和应急能力。优化医疗机构功能定位和布局，加强基层用药衔接，做实家庭医生签约服务，促进分级诊疗。推进中医药传承创新，促进中西医结合。居民医保人均财政补助标准提高24元。健全多层次医疗保障体系，稳步推动基本医疗保险省级统筹，优化医药集中采购和价格治理，深化医保支付方式改革，完善结余资金使用政策。坚决打击欺诈骗保。加快发展商业健康保险，推动创新药和医疗器械高质量发展，更好满足人民群众多元化就医用药需求。</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加强社会保障和服务。城乡居民基础养老金月最低标准再提高20元。完善并落实基本养老保险全国统筹制度，扩大失业、工伤保险覆盖面，稳妥有序推进职业伤害保障试点扩围，健全社保关系转移接续政策。深入实施积极应对人口老龄化国家战略，扩大普惠养老服务供给，健全城市社区养老服务网络，积极发展农村养老服务，实施中度以上失能老年人养老服务消费补贴项目。发展医养结合服务。积极开发老年人力资源，制定推进银发经济高质量发展的措施，完善老年用品产品、养老金融、旅居养老等支持政策。实施康复护理扩容提升工程。推行长期护理保险制度。做好独居老人、失能失智等困难群体的关爱帮扶。倡导积极婚育观，建设生育友好型社会。加强初婚初育家庭住房保障，支持多子女家庭改善性住房需求。完善生育保险制度和生育休假制度。深入开展托育服务补助示范试点，发展普惠托育和托幼一体化服务。加强残疾预防、康复和托养照护服务，推进养老助残资源统筹利用。做好困境儿童关爱服务，保障妇女儿童合法权益。加强军人军属、退役军人和其他优抚对象服务保障。建立健全基本殡葬服务制度。分层分类做好社会救助工作，兜住兜牢民生底线。</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更好满足人民群众精神文化需求。以社会主义核心价值观引领文化建设。发展哲学社会科学事业，推动新闻传播、电影电视、文学艺术等领域精品创作，支持出版业繁荣发展。加强网络内容建设和管理，深化网络综合治理，推进未成年人、老年人网络保护。实施公共文化服务提质增效行动，做好公共图书馆、博物馆、文化馆、科技馆等惠民开放，完善全民阅读推广服务体系，支持实体书店发展，广泛开展群众性文化活动，繁荣互联网条件下新大众文艺。发展档案事业。深入实施中华优秀传统文化传承发展工程，完成第四次全国文物普查，加强文化遗产系统性保护、监管和合理利用。高质量发展文化旅游业，丰富文旅体商等融合业态。鼓励更多文化企业和优秀文化产品走向世界，增强主流媒体国际传播能力。做好2026年亚运会、亚残运会备战参赛工作。加快重塑足球青训体系。积极发展赛事经济、冰雪经济、户外运动，建好用好群众身边的运动场地设施，培育更多特色群众体育赛事活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  （九）加快推动全面绿色转型。以碳达峰碳中和为牵引，协同推进降碳、减污、扩绿、增长，增强绿色发展动能。</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加强生态环境综合治理。深入打好蓝天、碧水、净土保卫战，制定实施空气质量持续改善行动计划，推进县城和农村黑臭水体、面源污染治理，加强重点行业污染地块风险管控。强化新污染物治理，实施固体废物综合治理行动。完善多元化生态补偿机制，拓展生态产品价值实现渠道。加强生物多样性保护，实施好长江十年禁渔。坚持山水林田湖草沙一体化保护和系统治理，实施自然保护地整合优化，推进国家公园建设，扎实推进“三北”工程攻坚战，让人民群众身边的山更绿、水更清。</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大力发展绿色低碳经济。完善促进绿色低碳发展政策，实施重点行业提质降本降碳行动，深入推进零碳园区和工厂建设。设立国家低碳转型基金，培育氢能、绿色燃料等新增长点。有力有效管控高耗能高排放项目，加快淘汰落后产能，支持绿色低碳技术装备创新应用。完善资源总量管理和全面节约制度，强化再生资源循环利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积极稳妥推进碳达峰碳中和。实施碳排放总量和强度双控制度，完善碳排放统计核算、碳足迹管理体系，进一步扩大碳排放权交易市场覆盖范围。制定能源强国建设规划纲要。着力构建新型电力系统，加快智能电网建设，发展新型储能，扩大绿电应用。加强化石能源清洁高效利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  （十）加强重点领域风险防范化解和安全能力建设。统筹防风险和促发展，进一步增强发展韧性，坚决守牢安全底线，促进社会和谐稳定。</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着力稳定房地产市场。因城施策控增量、去库存、优供给，探索多渠道盘活存量商品房，鼓励收购存量商品房重点用于保障性住房等。深化住房公积金制度改革。优化保障性住房供给，加快危旧房改造。有序推动安全舒适绿色智慧的“好房子”建设，实施房屋品质提升工程和物业服务质量提升行动。进一步发挥“保交房”的白名单制度作用，防范债务违约风险。深入推进房地产发展新模式的基础制度和配套政策建设。</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积极有序化解地方政府债务风险。支持各地用足用好政策，加快化解隐性债务风险，严防虚假化债，坚决把遏制违规新增隐性债务作为铁的纪律。加大金融、财政支持力度，优化债务重组和置换办法，多措并举化解地方政府融资平台经营性债务风险，分类有序推动改革转型。优化债务监测考核指标，构建统一的政府债务管理长效机制。</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积极稳妥化解金融领域风险。充实地方中小金融机构风险处置资源和手段。坚持市场化法治化原则，有序推进高风险机构处置。多渠道加大资本补充力度，稳妥处置金融机构不良资产。加强金融监管协同，防范打击非法金融活动。强化金融风险监测预警和早期纠正，提高风险源头防控能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维护国家安全和社会稳定。全面贯彻总体国家安全观，健全国家安全体系，加强重点领域国家安全能力建设。强化公共安全治理，提升重要基础设施本质安全水平，持续夯实安全生产、防灾减灾基层基础，全面完成安全生产治本攻坚三年行动。加强气象、水文、地质灾害、森林草原火灾、地震监测预报预警。加快补齐北方地区防洪排涝抗灾基础设施、应急处置等短板。加快建设现代化水网。健全巨灾保险保障体系。严格食品、药品、重点工业产品、特种设备等安全监管。完善社会治理体系，加强社会工作者队伍建设，引导支持社会组织、人道救助、志愿服务、公益慈善等健康发展，推动行业协会商会改革发展。坚持和发展新时代“枫桥经验”，推进综治中心规范化建设，完善社区治理，推进矛盾纠纷预防和多元化解。加强社会心理疏导。深入推进信访工作法治化，集中化解信访问题。深化社会治安整体防控体系和能力建设，健全扫黑除恶常态化机制，加大预防和打击电信网络诈骗、毒品犯罪等力度，建设更高水平的平安中国。</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新的形势和任务，对政府工作提出了更高要求。各级政府及其工作人员要深刻领悟“两个确立”的决定性意义，增强“四个意识”、坚定“四个自信”、做到“两个维护”，自觉在思想上政治上行动上同以习近平同志为核心的党中央保持高度一致。坚决扛起全面从严治党政治责任，巩固拓展深入贯彻中央八项规定精神学习教育成果，加强对权力配置、运行的规范和监督，纵深推进政府党风廉政建设和反腐败斗争，深化整治群众身边不正之风和腐败问题。深入开展树立和践行正确政绩观学习教育，坚持为人民出政绩、以实干出政绩，自觉按规律办事。</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我们要强化法治政府建设，深入推进依法行政，严格依照宪法法律履职尽责。自觉接受同级人大及其常委会的监督，自觉接受人民政协的民主监督，自觉接受社会和舆论监督。提高审计监督质效，加强财会监督和统计监督。坚持科学、民主、依法决策。扎实做好政务公开工作，加强政策宣传解读。健全行政复议体制机制。支持工会、共青团、妇联等群团组织更好发挥作用。深化事业单位改革。健全规范涉企行政执法长效机制。以“高效办成一件事”为牵引，持续优化政务服务，加快数字政府建设。着力提升行政效能，沉下心来抓落实，认认真真解决问题，提高对党中央决策部署一贯到底的执行力穿透力。各级政府要树牢大局观，准确把握在全国发展大局中的定位，善于把国家战略、市场需求和地区优势结合起来，因地制宜探索高质量发展新模式。完善差异化考核评价体系，持续深化整治形式主义为基层减负，让广大干部心无旁骛抓落实、办实事。营造良好政治环境、人才环境、营商环境、舆论环境，在全社会凝聚推动高质量发展的强大合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我们要以铸牢中华民族共同体意识为主线，积极促进各民族广泛交往交流交融，加快民族地区现代化建设步伐，推进中华民族共同体建设。坚持党的宗教工作基本方针，坚持我国宗教中国化方向，加强宗教事务治理法治化。全面贯彻党的侨务政策，维护海外侨胞和归侨侨眷合法权益，更好凝聚侨心侨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过去一年，国防和军队现代化建设取得新的成就。新的一年，我们要深入贯彻习近平强军思想，贯彻新时代军事战略方针，坚持党对人民军队的绝对领导，全面深入贯彻军委主席负责制，以政治建军为引领，持续深化政治整训，接续打好实现建军一百年奋斗目标攻坚战。扎实推进练兵备战，加快先进战斗力建设，提高捍卫国家主权、安全、发展利益的战略能力。抓好军队建设“十五五”规划编制，实施国防发展重大工程，实施军事理论现代化推进工程。协力推进跨军地改革，优化国防科技工业体系和布局，巩固提高一体化国家战略体系和能力。加快国防动员能力建设，深化全民国防教育。各级政府要大力支持国防和军队建设，深入开展“双拥”工作，巩固军政军民团结。</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我们要坚定不移贯彻“一国两制”、“港人治港”、“澳人治澳”、高度自治方针，落实“爱国者治港”、“爱国者治澳”原则，提升港澳依法治理效能，促进港澳经济社会发展。支持港澳更好融入和服务国家发展大局，发挥港澳背靠祖国、联通世界独特优势和重要作用，促进香港、澳门长期繁荣稳定。</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我们要深入贯彻新时代党解决台湾问题的总体方略，坚持一个中国原则和“九二共识”，坚决打击“台独”分裂势力，反对外部势力干涉，推动两岸关系和平发展、推进祖国统一大业。深化两岸交流合作和融合发展，共同传承弘扬中华文化，落实台湾同胞享受同等待遇政策，增进两岸同胞福祉，共同开创民族复兴伟业。</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我们要坚持独立自主的和平外交政策，坚持走和平发展道路，拓展全球伙伴关系网络，坚决反对霸权主义和强权政治，维护国际公平正义。中国愿同国际社会一道，倡导平等有序的世界多极化、普惠包容的经济全球化，推动落实全球发展倡议、全球安全倡议、全球文明倡议、全球治理倡议，积极参与全球治理体系改革和建设，推动国际秩序朝着更加公正合理的方向发展，携手构建人类命运共同体，共创世界和平发展美好未来。</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各位代表！蓝图已经绘就，奋进正当其时。我们要更加紧密地团结在以习近平同志为核心的党中央周围，高举中国特色社会主义伟大旗帜，以习近平新时代中国特色社会主义思想为指导，万众一心、砥砺前行，奋力实现全年经济社会发展目标任务，确保“十五五”良好开局，为以中国式现代化全面推进强国建设、民族复兴伟业不懈奋斗！</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（来源：新华网）</w:t>
      </w:r>
    </w:p>
    <w:p>
      <w:pPr>
        <w:rPr>
          <w:rFonts w:hint="eastAsia" w:ascii="微软雅黑" w:hAnsi="微软雅黑" w:eastAsia="微软雅黑" w:cs="微软雅黑"/>
          <w:b/>
          <w:i w:val="0"/>
          <w:caps w:val="0"/>
          <w:spacing w:val="8"/>
          <w:sz w:val="33"/>
          <w:szCs w:val="33"/>
          <w:shd w:val="clear" w:fill="FFFFFF"/>
          <w:lang w:val="en-US" w:eastAsia="zh-CN"/>
        </w:rPr>
        <w:sectPr>
          <w:pgSz w:w="11907" w:h="16840"/>
          <w:pgMar w:top="1440" w:right="1644" w:bottom="1440" w:left="1701" w:header="851" w:footer="992" w:gutter="0"/>
          <w:cols w:space="425" w:num="1"/>
          <w:docGrid w:type="lines" w:linePitch="312" w:charSpace="0"/>
        </w:sect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kern w:val="0"/>
          <w:lang w:val="en-US" w:eastAsia="zh-CN"/>
        </w:rPr>
      </w:pPr>
      <w:r>
        <w:rPr>
          <w:rFonts w:hint="eastAsia" w:ascii="微软雅黑" w:hAnsi="微软雅黑" w:eastAsia="微软雅黑" w:cs="微软雅黑"/>
          <w:b/>
          <w:i w:val="0"/>
          <w:caps w:val="0"/>
          <w:spacing w:val="8"/>
          <w:sz w:val="33"/>
          <w:szCs w:val="33"/>
          <w:shd w:val="clear" w:fill="FFFFFF"/>
          <w:lang w:val="en-US" w:eastAsia="zh-CN"/>
        </w:rPr>
        <w:t>为人民出政绩，以实干出政绩——写在全党开展树立和践行正确政绩观学习教育之际</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firstLine="442" w:firstLineChars="200"/>
        <w:textAlignment w:val="auto"/>
        <w:outlineLvl w:val="9"/>
        <w:rPr>
          <w:rFonts w:hint="eastAsia"/>
          <w:b/>
          <w:bCs/>
          <w:kern w:val="0"/>
          <w:lang w:val="en-US" w:eastAsia="zh-CN"/>
        </w:rPr>
      </w:pPr>
      <w:r>
        <w:rPr>
          <w:rFonts w:hint="eastAsia"/>
          <w:b/>
          <w:bCs/>
          <w:kern w:val="0"/>
          <w:lang w:val="en-US" w:eastAsia="zh-CN"/>
        </w:rPr>
        <w:t>新华社评论员：为人民出政绩  以实干出政绩——写在全党开展树立和践行正确政绩观学习教育之际</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近日，中共中央办公厅印发《关于在全党开展树立和践行正确政绩观学习教育的通知》。经党中央同意，在全党开展树立和践行正确政绩观学习教育（以下简称学习教育）。学习教育以县处级以上领导班子和领导干部特别是“一把手”为重点，于2026年春节假期后启动、7月底基本结束。开展这次学习教育，是党中央着眼党和国家事业发展全局作出的重要部署，对于推动“十五五”开好局、起好步，为以中国式现代化全面推进强国建设、民族复兴伟业提供有力保障，具有重大而深远的意义。</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开展好树立和践行正确政绩观学习教育，要坚持以习近平新时代中国特色社会主义思想为指导，深入贯彻党的二十大和二十届历次全会精神，认真落实四中全会部署，全面贯彻习近平总书记关于树立和践行正确政绩观的重要论述，持之以恒推进全面从严治党，以立党为公、为民造福、科学决策、真抓实干为总要求，以一体推进学查改为抓手，教育引导各级党组织和党员、干部坚持实事求是、求真务实，为人民出政绩、以实干出政绩，坚决有力贯彻落实党中央重大决策部署，完整准确全面贯彻新发展理念，加快构建新发展格局，着力推动高质量发展。党员干部特别是领导干部要深刻认识树立和践行正确政绩观对于党和国家事业发展、党的建设的重要性，切实把思想和行动统一到以习近平同志为核心的党中央作出的决策部署上来，深入查找和纠治政绩观偏差，努力创造经得起实践、人民、历史检验的实绩。</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政绩观问题是一个根本性问题，关乎立党为公、执政为民。树立和践行正确政绩观，起决定性作用的是党性。只有党性坚强、摒弃私心杂念，才能保证政绩观不出偏差。树立和践行正确政绩观，必须回答好“政绩为谁而树、树什么样的政绩、靠什么树政绩”的问题，始终坚持人民至上，把为民办事、为民造福作为最重要的政绩，坚持从实际出发、按规律办事，务实功、出实招、求实效，不断以新气象新作为推动高质量发展取得新成效。</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开展好学习教育，要坚持聚焦主题、简约务实，不分批次、不划阶段，认真落实学习研讨、查摆问题、整改整治、建章立制、开门教育等工作安排。要学深悟透，组织党员、干部深入学习习近平总书记关于树立和践行正确政绩观的重要论述，深入学习《中共中央关于制定国民经济和社会发展第十五个五年规划的建议》，深入学习习近平总书记关于本地区本部门本领域的重要讲话和重要指示精神，进一步强化立党为公、为民造福理念。要突出问题导向，县处级以上领导班子及其成员通过督促检查、调查研究、了解群众反映等途径，深入查找政绩观方面存在的问题，从党性上找差距、查根源、强修养。要坚持与中央巡视整改、深入贯彻中央八项规定精神学习教育整改、“十五五”规划编制实施、生态环保督察整改等相结合，边查边改、立行立改，对突出问题开展集中整治，持续推动整改落实。要立足当前、着眼长远，做好建章立制，深入查找现行制度机制中不符合正确政绩观要求的规定，该废止的废止，该修订的修订。要坚持开门教育，查摆问题听取群众意见，整改整治接受群众监督，检验成效接受群众评判；坚持民生为大，为群众多办实事，让群众可感可及。</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春潮涌动处，奋进正当时。今年是中国共产党成立105周年，是“十五五”开局之年。各级党委（党组）要把开展学习教育作为重要政治任务，党委（党组）主要负责同志要履行好第一责任人责任，加强分类指导，精心组织实施，确保取得实效。让我们更加紧密地团结在以习近平同志为核心的党中央周围，以开展学习教育为契机，进一步树立和践行正确政绩观，扎实推动高质量发展、推进中国式现代化，奋力实现“十五五”良好开局，共同谱写强国建设、民族复兴伟业新篇章。</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（来源：新华社）</w:t>
      </w:r>
    </w:p>
    <w:p>
      <w:pPr>
        <w:pStyle w:val="15"/>
        <w:ind w:left="0" w:leftChars="0" w:firstLine="0" w:firstLineChars="0"/>
        <w:jc w:val="left"/>
      </w:pPr>
    </w:p>
    <w:p/>
    <w:p>
      <w:pPr>
        <w:pStyle w:val="3"/>
      </w:pPr>
      <w: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kern w:val="0"/>
          <w:lang w:val="en-US" w:eastAsia="zh-CN"/>
        </w:rPr>
      </w:pPr>
      <w:r>
        <w:rPr>
          <w:rFonts w:hint="eastAsia" w:ascii="微软雅黑" w:hAnsi="微软雅黑" w:eastAsia="微软雅黑" w:cs="微软雅黑"/>
          <w:b/>
          <w:i w:val="0"/>
          <w:caps w:val="0"/>
          <w:spacing w:val="8"/>
          <w:sz w:val="33"/>
          <w:szCs w:val="33"/>
          <w:shd w:val="clear" w:fill="FFFFFF"/>
        </w:rPr>
        <w:t>省委常委会会议暨省委党的建设工作领导小组会议召开</w:t>
      </w:r>
    </w:p>
    <w:p>
      <w:pPr>
        <w:keepNext w:val="0"/>
        <w:keepLines w:val="0"/>
        <w:pageBreakBefore w:val="0"/>
        <w:widowControl w:val="0"/>
        <w:kinsoku/>
        <w:wordWrap/>
        <w:overflowPunct/>
        <w:topLinePunct w:val="0"/>
        <w:autoSpaceDE/>
        <w:autoSpaceDN/>
        <w:bidi w:val="0"/>
        <w:adjustRightInd/>
        <w:snapToGrid/>
        <w:spacing w:line="320" w:lineRule="exact"/>
        <w:ind w:firstLine="442" w:firstLineChars="200"/>
        <w:jc w:val="center"/>
        <w:textAlignment w:val="auto"/>
        <w:outlineLvl w:val="9"/>
        <w:rPr>
          <w:rFonts w:hint="eastAsia"/>
          <w:b/>
          <w:bCs/>
          <w:kern w:val="0"/>
          <w:sz w:val="22"/>
          <w:szCs w:val="24"/>
          <w:lang w:val="en-US" w:eastAsia="zh-CN"/>
        </w:rPr>
      </w:pPr>
      <w:r>
        <w:rPr>
          <w:rFonts w:hint="eastAsia"/>
          <w:b/>
          <w:bCs/>
          <w:kern w:val="0"/>
          <w:sz w:val="22"/>
          <w:szCs w:val="24"/>
          <w:lang w:val="en-US" w:eastAsia="zh-CN"/>
        </w:rPr>
        <w:t>省委常委会会议暨省委党的建设工作领导小组会议召开</w:t>
      </w:r>
    </w:p>
    <w:p>
      <w:pPr>
        <w:keepNext w:val="0"/>
        <w:keepLines w:val="0"/>
        <w:pageBreakBefore w:val="0"/>
        <w:widowControl w:val="0"/>
        <w:kinsoku/>
        <w:wordWrap/>
        <w:overflowPunct/>
        <w:topLinePunct w:val="0"/>
        <w:autoSpaceDE/>
        <w:autoSpaceDN/>
        <w:bidi w:val="0"/>
        <w:adjustRightInd/>
        <w:snapToGrid/>
        <w:spacing w:line="320" w:lineRule="exact"/>
        <w:ind w:firstLine="442" w:firstLineChars="200"/>
        <w:jc w:val="center"/>
        <w:textAlignment w:val="auto"/>
        <w:outlineLvl w:val="9"/>
        <w:rPr>
          <w:rFonts w:hint="eastAsia"/>
          <w:b/>
          <w:bCs/>
          <w:kern w:val="0"/>
          <w:sz w:val="22"/>
          <w:szCs w:val="24"/>
          <w:lang w:val="en-US" w:eastAsia="zh-CN"/>
        </w:rPr>
      </w:pPr>
      <w:r>
        <w:rPr>
          <w:rFonts w:hint="eastAsia"/>
          <w:b/>
          <w:bCs/>
          <w:kern w:val="0"/>
          <w:sz w:val="22"/>
          <w:szCs w:val="24"/>
          <w:lang w:val="en-US" w:eastAsia="zh-CN"/>
        </w:rPr>
        <w:t>研究部署我省树立和践行正确政绩观学习教育工作</w:t>
      </w:r>
    </w:p>
    <w:p>
      <w:pPr>
        <w:keepNext w:val="0"/>
        <w:keepLines w:val="0"/>
        <w:pageBreakBefore w:val="0"/>
        <w:widowControl w:val="0"/>
        <w:kinsoku/>
        <w:wordWrap/>
        <w:overflowPunct/>
        <w:topLinePunct w:val="0"/>
        <w:autoSpaceDE/>
        <w:autoSpaceDN/>
        <w:bidi w:val="0"/>
        <w:adjustRightInd/>
        <w:snapToGrid/>
        <w:spacing w:line="320" w:lineRule="exact"/>
        <w:ind w:firstLine="442" w:firstLineChars="200"/>
        <w:jc w:val="center"/>
        <w:textAlignment w:val="auto"/>
        <w:outlineLvl w:val="9"/>
        <w:rPr>
          <w:rFonts w:hint="eastAsia"/>
          <w:kern w:val="0"/>
          <w:lang w:val="en-US" w:eastAsia="zh-CN"/>
        </w:rPr>
      </w:pPr>
      <w:r>
        <w:rPr>
          <w:rFonts w:hint="eastAsia"/>
          <w:b/>
          <w:bCs/>
          <w:kern w:val="0"/>
          <w:sz w:val="22"/>
          <w:szCs w:val="24"/>
          <w:lang w:val="en-US" w:eastAsia="zh-CN"/>
        </w:rPr>
        <w:t>周祖翼主持</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2月28日，省委书记、省委党的建设工作领导小组组长周祖翼主持召开省委常委会会议暨省委党的建设工作领导小组会议，认真学习习近平总书记关于树立和践行正确政绩观的重要讲话和重要指示精神，以及中央办公厅《关于在全党开展树立和践行正确政绩观学习教育的通知》和中央党的建设工作领导小组会议精神，研究部署我省树立和践行正确政绩观学习教育工作。</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会议指出，党中央决定，在全党开展树立和践行正确政绩观学习教育，这是今年党的建设的重要任务。习近平总书记高度重视、反复强调要树立和践行正确政绩观，为开展学习教育指明了方向、提供了遵循。要统一思想认识，坚决扛起开展学习教育的政治责任。开展学习教育，是贯彻落实党的二十届四中全会战略部署、确保基本实现社会主义现代化取得决定性进展的必然要求，是践行党的根本宗旨、夯实党的执政根基的重要举措，是巩固拓展党内集中学习教育、持之以恒推进全面从严治党的有效途径，对于推进党和国家事业、对于推进全面从严治党意义重大。要高标准、严要求、高质量组织实施学习教育，发挥福建独特优势，发扬苏区精神和长征精神，教育引导全省各级党组织和党员干部坚持实事求是、求真务实，坚持问题导向、目标导向和结果导向相统一，为人民出政绩、以实干出政绩，有效防范和纠治政绩观偏差，推动“十五五”开好局、起好步，为奋力谱写新征程新福建建设新篇章提供有力保障，以实际行动坚定拥护“两个确立”、坚决做到“两个维护”。</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会议强调，要锚定目标任务，全面落实学习教育的各项工作安排。坚持以习近平新时代中国特色社会主义思想为指导，深入学习、全面贯彻习近平总书记关于树立和践行正确政绩观的重要论述，坚持全面系统学、及时跟进学、深入思考学、联系实际学，自觉做新时代党的创新理论的坚定信仰者和忠实实践者，做到学思用贯通、知信行统一。牢牢把握“立党为公、为民造福、科学决策、真抓实干”这个总要求，始终把人民放在心中最高位置，始终把为民办事、为民造福作为最重要的政绩，坚持从实际出发、按规律办事，通过科学决策和实干苦干，创造经得起实践和历史检验、真正造福人民、得到群众公认的业绩；牢牢把握“一体推进学查改”这个抓手，在深学、真查、实改上下功夫见成效，统筹推进学习研讨、查摆问题、整改整治，边查边改、立行立改，持续推动整改落实；牢牢把握做好建章立制、坚持开门教育，健全有效防范和纠治政绩观偏差工作机制，为群众多办实事，让群众可感可及。</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会议要求，全省各级党委（党组）要把开展学习教育作为重要政治任务，坚持聚焦主题、简约务实，精心组织实施，推动学习教育取得扎实成效。要压紧压实责任，省委党的建设工作领导小组抓好统筹协调，各级党委（党组）负总责，主要负责同志担负起第一责任人责任。要坚持分类指导，结合不同层级、地区、领域、行业实际，有针对性地加强指导。要加强宣传引导，持续营造良好舆论氛围，力戒形式主义。要注重务求实效，坚持两手抓、两促进，将解决思想认识问题和解决实际问题结合起来，将学习教育与贯彻落实习近平总书记在福建考察时的重要讲话精神、落实党中央决策部署和省委工作要求结合起来，与深入开展“三争”行动、推动中心工作、持续整治形式主义为基层减负、抓实中央各类监督反馈问题整改等结合起来，以推动高质量发展的实绩检验学习教育成效。</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lang w:val="en-US" w:eastAsia="zh-CN"/>
        </w:rPr>
      </w:pPr>
      <w:r>
        <w:rPr>
          <w:rFonts w:hint="eastAsia"/>
          <w:kern w:val="0"/>
          <w:lang w:val="en-US" w:eastAsia="zh-CN"/>
        </w:rPr>
        <w:t>（来源：福建日报·新福建客户端）</w:t>
      </w:r>
    </w:p>
    <w:sectPr>
      <w:pgSz w:w="11907" w:h="16840"/>
      <w:pgMar w:top="1440" w:right="1644"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经典楷体简">
    <w:altName w:val="宋体"/>
    <w:panose1 w:val="00000000000000000000"/>
    <w:charset w:val="86"/>
    <w:family w:val="modern"/>
    <w:pitch w:val="default"/>
    <w:sig w:usb0="00000000" w:usb1="00000000" w:usb2="0000001E" w:usb3="00000000" w:csb0="0004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Cambria">
    <w:panose1 w:val="02040503050406030204"/>
    <w:charset w:val="00"/>
    <w:family w:val="roman"/>
    <w:pitch w:val="default"/>
    <w:sig w:usb0="E00002FF" w:usb1="400004FF" w:usb2="00000000" w:usb3="00000000" w:csb0="2000019F"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jc w:val="center"/>
    </w:pPr>
    <w:r>
      <w:fldChar w:fldCharType="begin"/>
    </w:r>
    <w:r>
      <w:instrText xml:space="preserve"> PAGE   \* MERGEFORMAT </w:instrText>
    </w:r>
    <w:r>
      <w:fldChar w:fldCharType="separate"/>
    </w:r>
    <w:r>
      <w:rPr>
        <w:lang w:val="zh-CN"/>
      </w:rPr>
      <w:t>1</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wOWYyNTNjNjk1MzdiYjA5MTg3ZmI5NmJmZDhmMWYifQ=="/>
  </w:docVars>
  <w:rsids>
    <w:rsidRoot w:val="004E3E5A"/>
    <w:rsid w:val="00000079"/>
    <w:rsid w:val="000004EA"/>
    <w:rsid w:val="00000A52"/>
    <w:rsid w:val="00000F0B"/>
    <w:rsid w:val="00001564"/>
    <w:rsid w:val="000022AB"/>
    <w:rsid w:val="000022B9"/>
    <w:rsid w:val="0000281B"/>
    <w:rsid w:val="00003C19"/>
    <w:rsid w:val="0000559F"/>
    <w:rsid w:val="00005E5C"/>
    <w:rsid w:val="00006F26"/>
    <w:rsid w:val="0001530C"/>
    <w:rsid w:val="0001565A"/>
    <w:rsid w:val="00015681"/>
    <w:rsid w:val="00016C40"/>
    <w:rsid w:val="000170CA"/>
    <w:rsid w:val="000176B7"/>
    <w:rsid w:val="000176CC"/>
    <w:rsid w:val="00020CFF"/>
    <w:rsid w:val="00020ED9"/>
    <w:rsid w:val="00021846"/>
    <w:rsid w:val="00021C92"/>
    <w:rsid w:val="000230A3"/>
    <w:rsid w:val="00023179"/>
    <w:rsid w:val="000233A6"/>
    <w:rsid w:val="00025637"/>
    <w:rsid w:val="00026A47"/>
    <w:rsid w:val="00026EC8"/>
    <w:rsid w:val="00035065"/>
    <w:rsid w:val="000350D4"/>
    <w:rsid w:val="0003572B"/>
    <w:rsid w:val="00035DEB"/>
    <w:rsid w:val="0004021A"/>
    <w:rsid w:val="00040C72"/>
    <w:rsid w:val="00041245"/>
    <w:rsid w:val="00041473"/>
    <w:rsid w:val="00041C3A"/>
    <w:rsid w:val="00043E2F"/>
    <w:rsid w:val="00044DA0"/>
    <w:rsid w:val="00044E82"/>
    <w:rsid w:val="0004508C"/>
    <w:rsid w:val="00045565"/>
    <w:rsid w:val="00046ADA"/>
    <w:rsid w:val="00047D1E"/>
    <w:rsid w:val="00051783"/>
    <w:rsid w:val="000517D6"/>
    <w:rsid w:val="00051802"/>
    <w:rsid w:val="000522C5"/>
    <w:rsid w:val="0005525D"/>
    <w:rsid w:val="00055B0F"/>
    <w:rsid w:val="00056177"/>
    <w:rsid w:val="0006128E"/>
    <w:rsid w:val="00061472"/>
    <w:rsid w:val="000616AB"/>
    <w:rsid w:val="00061D95"/>
    <w:rsid w:val="00062109"/>
    <w:rsid w:val="00062324"/>
    <w:rsid w:val="000648D8"/>
    <w:rsid w:val="00064BC2"/>
    <w:rsid w:val="0006627A"/>
    <w:rsid w:val="000703C4"/>
    <w:rsid w:val="000709D1"/>
    <w:rsid w:val="00070EAA"/>
    <w:rsid w:val="0007144F"/>
    <w:rsid w:val="000725D5"/>
    <w:rsid w:val="00072FAC"/>
    <w:rsid w:val="00074365"/>
    <w:rsid w:val="0007714C"/>
    <w:rsid w:val="00081325"/>
    <w:rsid w:val="00081F72"/>
    <w:rsid w:val="00082C59"/>
    <w:rsid w:val="00082EE1"/>
    <w:rsid w:val="000832D1"/>
    <w:rsid w:val="00083CE0"/>
    <w:rsid w:val="00083D76"/>
    <w:rsid w:val="00085FC8"/>
    <w:rsid w:val="000864A6"/>
    <w:rsid w:val="000878FE"/>
    <w:rsid w:val="00087A8D"/>
    <w:rsid w:val="00090B7B"/>
    <w:rsid w:val="00090C5B"/>
    <w:rsid w:val="00090C7A"/>
    <w:rsid w:val="0009171A"/>
    <w:rsid w:val="00092238"/>
    <w:rsid w:val="000927BB"/>
    <w:rsid w:val="0009454F"/>
    <w:rsid w:val="00095A66"/>
    <w:rsid w:val="00097104"/>
    <w:rsid w:val="00097BBA"/>
    <w:rsid w:val="000A3142"/>
    <w:rsid w:val="000A3651"/>
    <w:rsid w:val="000A3A0D"/>
    <w:rsid w:val="000A5297"/>
    <w:rsid w:val="000A5684"/>
    <w:rsid w:val="000A5999"/>
    <w:rsid w:val="000A772A"/>
    <w:rsid w:val="000B02BB"/>
    <w:rsid w:val="000B0D3E"/>
    <w:rsid w:val="000B1259"/>
    <w:rsid w:val="000B133B"/>
    <w:rsid w:val="000B18E8"/>
    <w:rsid w:val="000B1D82"/>
    <w:rsid w:val="000B25F8"/>
    <w:rsid w:val="000B277B"/>
    <w:rsid w:val="000B282B"/>
    <w:rsid w:val="000B2850"/>
    <w:rsid w:val="000B4092"/>
    <w:rsid w:val="000B4A87"/>
    <w:rsid w:val="000C2707"/>
    <w:rsid w:val="000C294B"/>
    <w:rsid w:val="000C2C03"/>
    <w:rsid w:val="000C322D"/>
    <w:rsid w:val="000C353E"/>
    <w:rsid w:val="000C60A4"/>
    <w:rsid w:val="000C6836"/>
    <w:rsid w:val="000C7055"/>
    <w:rsid w:val="000C76CC"/>
    <w:rsid w:val="000C777F"/>
    <w:rsid w:val="000C7A90"/>
    <w:rsid w:val="000D097D"/>
    <w:rsid w:val="000D0E98"/>
    <w:rsid w:val="000D15AC"/>
    <w:rsid w:val="000D1F88"/>
    <w:rsid w:val="000D28A8"/>
    <w:rsid w:val="000D40AE"/>
    <w:rsid w:val="000D477B"/>
    <w:rsid w:val="000D69F7"/>
    <w:rsid w:val="000E06FF"/>
    <w:rsid w:val="000E23A7"/>
    <w:rsid w:val="000E5161"/>
    <w:rsid w:val="000E5388"/>
    <w:rsid w:val="000F2233"/>
    <w:rsid w:val="000F3172"/>
    <w:rsid w:val="000F4012"/>
    <w:rsid w:val="000F4618"/>
    <w:rsid w:val="000F4CE6"/>
    <w:rsid w:val="000F52A1"/>
    <w:rsid w:val="000F56BF"/>
    <w:rsid w:val="000F5BC9"/>
    <w:rsid w:val="000F5BFF"/>
    <w:rsid w:val="000F643F"/>
    <w:rsid w:val="00102228"/>
    <w:rsid w:val="00106476"/>
    <w:rsid w:val="00106D9E"/>
    <w:rsid w:val="00107FCF"/>
    <w:rsid w:val="00112696"/>
    <w:rsid w:val="00115A43"/>
    <w:rsid w:val="00116553"/>
    <w:rsid w:val="00116786"/>
    <w:rsid w:val="001215DA"/>
    <w:rsid w:val="00125CCA"/>
    <w:rsid w:val="0012643F"/>
    <w:rsid w:val="00127761"/>
    <w:rsid w:val="00130F88"/>
    <w:rsid w:val="00130FEB"/>
    <w:rsid w:val="0013151E"/>
    <w:rsid w:val="0013207F"/>
    <w:rsid w:val="00133053"/>
    <w:rsid w:val="001340AE"/>
    <w:rsid w:val="001406E7"/>
    <w:rsid w:val="00141B66"/>
    <w:rsid w:val="00141D54"/>
    <w:rsid w:val="001420F8"/>
    <w:rsid w:val="0014654B"/>
    <w:rsid w:val="00146DFC"/>
    <w:rsid w:val="0015060E"/>
    <w:rsid w:val="001528C6"/>
    <w:rsid w:val="00152AC5"/>
    <w:rsid w:val="00155000"/>
    <w:rsid w:val="00156431"/>
    <w:rsid w:val="0015764C"/>
    <w:rsid w:val="00157DF9"/>
    <w:rsid w:val="00160C81"/>
    <w:rsid w:val="00161BF7"/>
    <w:rsid w:val="00161C4C"/>
    <w:rsid w:val="0016249E"/>
    <w:rsid w:val="00162830"/>
    <w:rsid w:val="00162B38"/>
    <w:rsid w:val="00162F48"/>
    <w:rsid w:val="00163137"/>
    <w:rsid w:val="00163845"/>
    <w:rsid w:val="00163A1D"/>
    <w:rsid w:val="00163F84"/>
    <w:rsid w:val="00166A37"/>
    <w:rsid w:val="0017047C"/>
    <w:rsid w:val="001715CF"/>
    <w:rsid w:val="00171BA1"/>
    <w:rsid w:val="00171CEA"/>
    <w:rsid w:val="001721D1"/>
    <w:rsid w:val="0017301A"/>
    <w:rsid w:val="00173B83"/>
    <w:rsid w:val="00175710"/>
    <w:rsid w:val="00175AA4"/>
    <w:rsid w:val="00177AB0"/>
    <w:rsid w:val="00177C32"/>
    <w:rsid w:val="00180206"/>
    <w:rsid w:val="00180D0B"/>
    <w:rsid w:val="00180F60"/>
    <w:rsid w:val="001818AE"/>
    <w:rsid w:val="001827EF"/>
    <w:rsid w:val="001844E8"/>
    <w:rsid w:val="001858EB"/>
    <w:rsid w:val="00185C0F"/>
    <w:rsid w:val="00185E16"/>
    <w:rsid w:val="001866E5"/>
    <w:rsid w:val="001869B3"/>
    <w:rsid w:val="00190D15"/>
    <w:rsid w:val="00192E96"/>
    <w:rsid w:val="00193A10"/>
    <w:rsid w:val="00195F59"/>
    <w:rsid w:val="00196D59"/>
    <w:rsid w:val="00197926"/>
    <w:rsid w:val="001979B1"/>
    <w:rsid w:val="00197D45"/>
    <w:rsid w:val="00197D78"/>
    <w:rsid w:val="001A33D4"/>
    <w:rsid w:val="001A37E0"/>
    <w:rsid w:val="001A44C6"/>
    <w:rsid w:val="001A4736"/>
    <w:rsid w:val="001A490B"/>
    <w:rsid w:val="001B0070"/>
    <w:rsid w:val="001B09B9"/>
    <w:rsid w:val="001B0C6A"/>
    <w:rsid w:val="001B45E5"/>
    <w:rsid w:val="001B484E"/>
    <w:rsid w:val="001B4AC7"/>
    <w:rsid w:val="001B533B"/>
    <w:rsid w:val="001B6583"/>
    <w:rsid w:val="001B6951"/>
    <w:rsid w:val="001B6FFF"/>
    <w:rsid w:val="001B7AF0"/>
    <w:rsid w:val="001C07A0"/>
    <w:rsid w:val="001C0E25"/>
    <w:rsid w:val="001C1CDA"/>
    <w:rsid w:val="001C3FAA"/>
    <w:rsid w:val="001C4089"/>
    <w:rsid w:val="001C4E2F"/>
    <w:rsid w:val="001C5ADB"/>
    <w:rsid w:val="001C65D3"/>
    <w:rsid w:val="001C6897"/>
    <w:rsid w:val="001C7D1A"/>
    <w:rsid w:val="001D192E"/>
    <w:rsid w:val="001D2790"/>
    <w:rsid w:val="001D2E4B"/>
    <w:rsid w:val="001D736B"/>
    <w:rsid w:val="001D7D2B"/>
    <w:rsid w:val="001E0B06"/>
    <w:rsid w:val="001E398F"/>
    <w:rsid w:val="001E57A5"/>
    <w:rsid w:val="001E67A2"/>
    <w:rsid w:val="001E776E"/>
    <w:rsid w:val="001E77A3"/>
    <w:rsid w:val="001E7AF0"/>
    <w:rsid w:val="001F0233"/>
    <w:rsid w:val="001F0D17"/>
    <w:rsid w:val="001F14B3"/>
    <w:rsid w:val="001F1D76"/>
    <w:rsid w:val="001F2043"/>
    <w:rsid w:val="001F29F3"/>
    <w:rsid w:val="001F54FF"/>
    <w:rsid w:val="001F5B07"/>
    <w:rsid w:val="001F67F5"/>
    <w:rsid w:val="001F7123"/>
    <w:rsid w:val="001F7369"/>
    <w:rsid w:val="00201776"/>
    <w:rsid w:val="00203484"/>
    <w:rsid w:val="002122B1"/>
    <w:rsid w:val="00212A41"/>
    <w:rsid w:val="002138A5"/>
    <w:rsid w:val="00217466"/>
    <w:rsid w:val="0022207C"/>
    <w:rsid w:val="00223E2D"/>
    <w:rsid w:val="002245A0"/>
    <w:rsid w:val="00226695"/>
    <w:rsid w:val="00227588"/>
    <w:rsid w:val="002323DC"/>
    <w:rsid w:val="00232BAD"/>
    <w:rsid w:val="00236CD4"/>
    <w:rsid w:val="00237207"/>
    <w:rsid w:val="00241CA6"/>
    <w:rsid w:val="00242FB5"/>
    <w:rsid w:val="00243838"/>
    <w:rsid w:val="002439AE"/>
    <w:rsid w:val="00243CD4"/>
    <w:rsid w:val="00245D13"/>
    <w:rsid w:val="002465F2"/>
    <w:rsid w:val="00246B39"/>
    <w:rsid w:val="00250465"/>
    <w:rsid w:val="002505AD"/>
    <w:rsid w:val="002521F5"/>
    <w:rsid w:val="00255BD3"/>
    <w:rsid w:val="002567BD"/>
    <w:rsid w:val="00256BD2"/>
    <w:rsid w:val="00257D0A"/>
    <w:rsid w:val="002621CD"/>
    <w:rsid w:val="002628C6"/>
    <w:rsid w:val="00262E69"/>
    <w:rsid w:val="00263AC2"/>
    <w:rsid w:val="00263AF1"/>
    <w:rsid w:val="002641A8"/>
    <w:rsid w:val="00264211"/>
    <w:rsid w:val="0026425A"/>
    <w:rsid w:val="0026536A"/>
    <w:rsid w:val="00266042"/>
    <w:rsid w:val="002667D7"/>
    <w:rsid w:val="00267A82"/>
    <w:rsid w:val="00267DCA"/>
    <w:rsid w:val="00272019"/>
    <w:rsid w:val="0027358E"/>
    <w:rsid w:val="00273693"/>
    <w:rsid w:val="002746DC"/>
    <w:rsid w:val="00277E28"/>
    <w:rsid w:val="00280289"/>
    <w:rsid w:val="00282B33"/>
    <w:rsid w:val="00283A7E"/>
    <w:rsid w:val="00286586"/>
    <w:rsid w:val="00286970"/>
    <w:rsid w:val="00292A46"/>
    <w:rsid w:val="00292C15"/>
    <w:rsid w:val="00293B32"/>
    <w:rsid w:val="00295152"/>
    <w:rsid w:val="00295E15"/>
    <w:rsid w:val="00296105"/>
    <w:rsid w:val="002977CF"/>
    <w:rsid w:val="002979D8"/>
    <w:rsid w:val="002A06D6"/>
    <w:rsid w:val="002A3C18"/>
    <w:rsid w:val="002A4120"/>
    <w:rsid w:val="002A429B"/>
    <w:rsid w:val="002A4B32"/>
    <w:rsid w:val="002A5730"/>
    <w:rsid w:val="002A586F"/>
    <w:rsid w:val="002A58C4"/>
    <w:rsid w:val="002A6DF0"/>
    <w:rsid w:val="002A70F7"/>
    <w:rsid w:val="002A73C1"/>
    <w:rsid w:val="002B002A"/>
    <w:rsid w:val="002B01D4"/>
    <w:rsid w:val="002B141E"/>
    <w:rsid w:val="002B1F86"/>
    <w:rsid w:val="002B32DD"/>
    <w:rsid w:val="002B3CEA"/>
    <w:rsid w:val="002B3DA7"/>
    <w:rsid w:val="002B6184"/>
    <w:rsid w:val="002B6A0A"/>
    <w:rsid w:val="002B6C6B"/>
    <w:rsid w:val="002B7197"/>
    <w:rsid w:val="002C00DA"/>
    <w:rsid w:val="002C0E6F"/>
    <w:rsid w:val="002C1B94"/>
    <w:rsid w:val="002C294B"/>
    <w:rsid w:val="002C2D31"/>
    <w:rsid w:val="002C3881"/>
    <w:rsid w:val="002C489F"/>
    <w:rsid w:val="002C66F7"/>
    <w:rsid w:val="002C7EA3"/>
    <w:rsid w:val="002D0B57"/>
    <w:rsid w:val="002D0D3A"/>
    <w:rsid w:val="002D0FA5"/>
    <w:rsid w:val="002D17B1"/>
    <w:rsid w:val="002D236F"/>
    <w:rsid w:val="002D24E1"/>
    <w:rsid w:val="002D4216"/>
    <w:rsid w:val="002D4735"/>
    <w:rsid w:val="002D5708"/>
    <w:rsid w:val="002D5B9B"/>
    <w:rsid w:val="002D6581"/>
    <w:rsid w:val="002D77AA"/>
    <w:rsid w:val="002E2131"/>
    <w:rsid w:val="002E4354"/>
    <w:rsid w:val="002E4C51"/>
    <w:rsid w:val="002E5201"/>
    <w:rsid w:val="002E59BC"/>
    <w:rsid w:val="002E60D6"/>
    <w:rsid w:val="002E64A2"/>
    <w:rsid w:val="002E7715"/>
    <w:rsid w:val="002E79F7"/>
    <w:rsid w:val="002F13A6"/>
    <w:rsid w:val="002F190E"/>
    <w:rsid w:val="002F1AE4"/>
    <w:rsid w:val="002F2AAB"/>
    <w:rsid w:val="002F2DFF"/>
    <w:rsid w:val="002F3698"/>
    <w:rsid w:val="002F58D9"/>
    <w:rsid w:val="002F6096"/>
    <w:rsid w:val="002F6506"/>
    <w:rsid w:val="002F68C3"/>
    <w:rsid w:val="002F6C35"/>
    <w:rsid w:val="002F7452"/>
    <w:rsid w:val="002F74AF"/>
    <w:rsid w:val="00300D11"/>
    <w:rsid w:val="00301DAB"/>
    <w:rsid w:val="00302E8C"/>
    <w:rsid w:val="00303E45"/>
    <w:rsid w:val="00304904"/>
    <w:rsid w:val="00304CE9"/>
    <w:rsid w:val="0030507A"/>
    <w:rsid w:val="003050C4"/>
    <w:rsid w:val="0030526D"/>
    <w:rsid w:val="00305369"/>
    <w:rsid w:val="0030675E"/>
    <w:rsid w:val="00306B06"/>
    <w:rsid w:val="003070C2"/>
    <w:rsid w:val="003077AE"/>
    <w:rsid w:val="00310951"/>
    <w:rsid w:val="00311F99"/>
    <w:rsid w:val="003120EA"/>
    <w:rsid w:val="003132DE"/>
    <w:rsid w:val="003135D2"/>
    <w:rsid w:val="00315072"/>
    <w:rsid w:val="0031602E"/>
    <w:rsid w:val="003163D7"/>
    <w:rsid w:val="00317222"/>
    <w:rsid w:val="003206EE"/>
    <w:rsid w:val="00320CBE"/>
    <w:rsid w:val="003212E4"/>
    <w:rsid w:val="00322225"/>
    <w:rsid w:val="00322C2F"/>
    <w:rsid w:val="00323704"/>
    <w:rsid w:val="00323C56"/>
    <w:rsid w:val="00323FA9"/>
    <w:rsid w:val="0032542A"/>
    <w:rsid w:val="00326FE5"/>
    <w:rsid w:val="0033105A"/>
    <w:rsid w:val="00333A96"/>
    <w:rsid w:val="00334AC4"/>
    <w:rsid w:val="00334C39"/>
    <w:rsid w:val="00340D1D"/>
    <w:rsid w:val="00344D2C"/>
    <w:rsid w:val="00346C42"/>
    <w:rsid w:val="00346E6E"/>
    <w:rsid w:val="00346E7F"/>
    <w:rsid w:val="00347058"/>
    <w:rsid w:val="00347942"/>
    <w:rsid w:val="0035206F"/>
    <w:rsid w:val="003520D0"/>
    <w:rsid w:val="0035274B"/>
    <w:rsid w:val="00354DA1"/>
    <w:rsid w:val="003557F0"/>
    <w:rsid w:val="003567B8"/>
    <w:rsid w:val="0036097D"/>
    <w:rsid w:val="00361F5C"/>
    <w:rsid w:val="00362273"/>
    <w:rsid w:val="00364858"/>
    <w:rsid w:val="00364A8D"/>
    <w:rsid w:val="00364E29"/>
    <w:rsid w:val="00366147"/>
    <w:rsid w:val="003679A4"/>
    <w:rsid w:val="00367D28"/>
    <w:rsid w:val="00370072"/>
    <w:rsid w:val="003700E4"/>
    <w:rsid w:val="003717A4"/>
    <w:rsid w:val="00371B48"/>
    <w:rsid w:val="0037294D"/>
    <w:rsid w:val="00373A11"/>
    <w:rsid w:val="003754E8"/>
    <w:rsid w:val="0037674E"/>
    <w:rsid w:val="003774B2"/>
    <w:rsid w:val="0037785F"/>
    <w:rsid w:val="003805F5"/>
    <w:rsid w:val="00380BD8"/>
    <w:rsid w:val="00382389"/>
    <w:rsid w:val="003836A6"/>
    <w:rsid w:val="00383974"/>
    <w:rsid w:val="0038424F"/>
    <w:rsid w:val="00384A06"/>
    <w:rsid w:val="00384C0E"/>
    <w:rsid w:val="00384D3A"/>
    <w:rsid w:val="00387FA0"/>
    <w:rsid w:val="00390758"/>
    <w:rsid w:val="00390800"/>
    <w:rsid w:val="00393208"/>
    <w:rsid w:val="003933C8"/>
    <w:rsid w:val="003947DD"/>
    <w:rsid w:val="00395839"/>
    <w:rsid w:val="00395F72"/>
    <w:rsid w:val="003A0027"/>
    <w:rsid w:val="003A05E3"/>
    <w:rsid w:val="003A21D0"/>
    <w:rsid w:val="003A281A"/>
    <w:rsid w:val="003A3BFC"/>
    <w:rsid w:val="003A7D7A"/>
    <w:rsid w:val="003A7F3C"/>
    <w:rsid w:val="003B25AA"/>
    <w:rsid w:val="003B30F3"/>
    <w:rsid w:val="003B5D0C"/>
    <w:rsid w:val="003B5EB3"/>
    <w:rsid w:val="003B7FE8"/>
    <w:rsid w:val="003C0032"/>
    <w:rsid w:val="003C09CE"/>
    <w:rsid w:val="003C0E67"/>
    <w:rsid w:val="003C1E7C"/>
    <w:rsid w:val="003C2A9E"/>
    <w:rsid w:val="003C72B0"/>
    <w:rsid w:val="003D05CE"/>
    <w:rsid w:val="003D1088"/>
    <w:rsid w:val="003D1638"/>
    <w:rsid w:val="003D2D5D"/>
    <w:rsid w:val="003D3222"/>
    <w:rsid w:val="003D3D30"/>
    <w:rsid w:val="003D4447"/>
    <w:rsid w:val="003D5DCA"/>
    <w:rsid w:val="003D6AAA"/>
    <w:rsid w:val="003D7F8A"/>
    <w:rsid w:val="003E134E"/>
    <w:rsid w:val="003E4C7F"/>
    <w:rsid w:val="003E4DFF"/>
    <w:rsid w:val="003E5149"/>
    <w:rsid w:val="003E5403"/>
    <w:rsid w:val="003E70EE"/>
    <w:rsid w:val="003E7550"/>
    <w:rsid w:val="003E7EEB"/>
    <w:rsid w:val="003F3E5B"/>
    <w:rsid w:val="003F516A"/>
    <w:rsid w:val="003F6331"/>
    <w:rsid w:val="003F675A"/>
    <w:rsid w:val="004003BC"/>
    <w:rsid w:val="00400450"/>
    <w:rsid w:val="00400872"/>
    <w:rsid w:val="00401542"/>
    <w:rsid w:val="00401D0C"/>
    <w:rsid w:val="00402E7F"/>
    <w:rsid w:val="004037B7"/>
    <w:rsid w:val="00404533"/>
    <w:rsid w:val="004060C0"/>
    <w:rsid w:val="004061BD"/>
    <w:rsid w:val="00406404"/>
    <w:rsid w:val="00406F8D"/>
    <w:rsid w:val="0041012E"/>
    <w:rsid w:val="00410D2A"/>
    <w:rsid w:val="00410F0E"/>
    <w:rsid w:val="0041131D"/>
    <w:rsid w:val="00411F4E"/>
    <w:rsid w:val="00412A64"/>
    <w:rsid w:val="00412AF8"/>
    <w:rsid w:val="0041304F"/>
    <w:rsid w:val="00413616"/>
    <w:rsid w:val="00413838"/>
    <w:rsid w:val="00414E51"/>
    <w:rsid w:val="00414F99"/>
    <w:rsid w:val="0041526C"/>
    <w:rsid w:val="004159FB"/>
    <w:rsid w:val="00415E51"/>
    <w:rsid w:val="00416696"/>
    <w:rsid w:val="00417777"/>
    <w:rsid w:val="004201AD"/>
    <w:rsid w:val="0042035E"/>
    <w:rsid w:val="00420B3E"/>
    <w:rsid w:val="00422DFE"/>
    <w:rsid w:val="00422E9B"/>
    <w:rsid w:val="00423EC5"/>
    <w:rsid w:val="00424BED"/>
    <w:rsid w:val="00425B54"/>
    <w:rsid w:val="00426A7D"/>
    <w:rsid w:val="00426D81"/>
    <w:rsid w:val="004307CD"/>
    <w:rsid w:val="00431166"/>
    <w:rsid w:val="004316CD"/>
    <w:rsid w:val="00431C7F"/>
    <w:rsid w:val="004321BE"/>
    <w:rsid w:val="00435166"/>
    <w:rsid w:val="00436672"/>
    <w:rsid w:val="0043674B"/>
    <w:rsid w:val="0043679E"/>
    <w:rsid w:val="00437275"/>
    <w:rsid w:val="00437503"/>
    <w:rsid w:val="00437A8F"/>
    <w:rsid w:val="00437B75"/>
    <w:rsid w:val="00437E4D"/>
    <w:rsid w:val="004411D7"/>
    <w:rsid w:val="00442475"/>
    <w:rsid w:val="00443005"/>
    <w:rsid w:val="004447D6"/>
    <w:rsid w:val="004449ED"/>
    <w:rsid w:val="00444AEA"/>
    <w:rsid w:val="004462AF"/>
    <w:rsid w:val="00447076"/>
    <w:rsid w:val="00450046"/>
    <w:rsid w:val="0045019C"/>
    <w:rsid w:val="00450FF6"/>
    <w:rsid w:val="00453699"/>
    <w:rsid w:val="00453900"/>
    <w:rsid w:val="004539E6"/>
    <w:rsid w:val="0045464F"/>
    <w:rsid w:val="00454F26"/>
    <w:rsid w:val="004553CB"/>
    <w:rsid w:val="00456F05"/>
    <w:rsid w:val="0045709B"/>
    <w:rsid w:val="0045754C"/>
    <w:rsid w:val="00462544"/>
    <w:rsid w:val="004627DE"/>
    <w:rsid w:val="00462AA8"/>
    <w:rsid w:val="0046332D"/>
    <w:rsid w:val="00463B2A"/>
    <w:rsid w:val="00463BC7"/>
    <w:rsid w:val="00463D07"/>
    <w:rsid w:val="00463F71"/>
    <w:rsid w:val="00464ABF"/>
    <w:rsid w:val="0046762C"/>
    <w:rsid w:val="004676C3"/>
    <w:rsid w:val="00470675"/>
    <w:rsid w:val="004706BB"/>
    <w:rsid w:val="004706C2"/>
    <w:rsid w:val="00470CA0"/>
    <w:rsid w:val="0047182C"/>
    <w:rsid w:val="00473428"/>
    <w:rsid w:val="00473B3E"/>
    <w:rsid w:val="00473C78"/>
    <w:rsid w:val="00475B5E"/>
    <w:rsid w:val="00475DC3"/>
    <w:rsid w:val="004767A9"/>
    <w:rsid w:val="00477126"/>
    <w:rsid w:val="00480A2D"/>
    <w:rsid w:val="004844BA"/>
    <w:rsid w:val="0048450B"/>
    <w:rsid w:val="0048755C"/>
    <w:rsid w:val="004905BD"/>
    <w:rsid w:val="004906C3"/>
    <w:rsid w:val="00490781"/>
    <w:rsid w:val="00490994"/>
    <w:rsid w:val="00491294"/>
    <w:rsid w:val="00493DD7"/>
    <w:rsid w:val="004941A5"/>
    <w:rsid w:val="00494FBE"/>
    <w:rsid w:val="00496806"/>
    <w:rsid w:val="00496CC0"/>
    <w:rsid w:val="00497EF3"/>
    <w:rsid w:val="004A054C"/>
    <w:rsid w:val="004A1087"/>
    <w:rsid w:val="004A2801"/>
    <w:rsid w:val="004A2F6F"/>
    <w:rsid w:val="004A525D"/>
    <w:rsid w:val="004A546F"/>
    <w:rsid w:val="004A6D14"/>
    <w:rsid w:val="004A74A1"/>
    <w:rsid w:val="004A7688"/>
    <w:rsid w:val="004A79F5"/>
    <w:rsid w:val="004B07AB"/>
    <w:rsid w:val="004B0C6D"/>
    <w:rsid w:val="004B0D82"/>
    <w:rsid w:val="004B33DD"/>
    <w:rsid w:val="004B3AD1"/>
    <w:rsid w:val="004C0902"/>
    <w:rsid w:val="004C0D4B"/>
    <w:rsid w:val="004C0F9F"/>
    <w:rsid w:val="004C1081"/>
    <w:rsid w:val="004C1E69"/>
    <w:rsid w:val="004C56BA"/>
    <w:rsid w:val="004C74E2"/>
    <w:rsid w:val="004C76DB"/>
    <w:rsid w:val="004C7C5B"/>
    <w:rsid w:val="004D0122"/>
    <w:rsid w:val="004D03A3"/>
    <w:rsid w:val="004D0995"/>
    <w:rsid w:val="004D0E63"/>
    <w:rsid w:val="004D22A1"/>
    <w:rsid w:val="004D3C19"/>
    <w:rsid w:val="004D5F67"/>
    <w:rsid w:val="004D65DF"/>
    <w:rsid w:val="004D71DB"/>
    <w:rsid w:val="004D7C87"/>
    <w:rsid w:val="004E141A"/>
    <w:rsid w:val="004E1818"/>
    <w:rsid w:val="004E3A5F"/>
    <w:rsid w:val="004E3A87"/>
    <w:rsid w:val="004E3E5A"/>
    <w:rsid w:val="004E447A"/>
    <w:rsid w:val="004E5317"/>
    <w:rsid w:val="004E5EB5"/>
    <w:rsid w:val="004E7BC9"/>
    <w:rsid w:val="004F076A"/>
    <w:rsid w:val="004F1E61"/>
    <w:rsid w:val="004F48AD"/>
    <w:rsid w:val="004F6CE1"/>
    <w:rsid w:val="004F743B"/>
    <w:rsid w:val="00500196"/>
    <w:rsid w:val="005002EB"/>
    <w:rsid w:val="005009CA"/>
    <w:rsid w:val="00503791"/>
    <w:rsid w:val="005042E5"/>
    <w:rsid w:val="00504940"/>
    <w:rsid w:val="005049F0"/>
    <w:rsid w:val="00505583"/>
    <w:rsid w:val="00505662"/>
    <w:rsid w:val="005072AD"/>
    <w:rsid w:val="0050799A"/>
    <w:rsid w:val="00507BEA"/>
    <w:rsid w:val="00510F9C"/>
    <w:rsid w:val="00512750"/>
    <w:rsid w:val="00512F51"/>
    <w:rsid w:val="00512F7C"/>
    <w:rsid w:val="005135AE"/>
    <w:rsid w:val="00514217"/>
    <w:rsid w:val="005142A8"/>
    <w:rsid w:val="00515415"/>
    <w:rsid w:val="00516E81"/>
    <w:rsid w:val="005173B6"/>
    <w:rsid w:val="00517CDB"/>
    <w:rsid w:val="005200A1"/>
    <w:rsid w:val="00521A25"/>
    <w:rsid w:val="00521E25"/>
    <w:rsid w:val="00522314"/>
    <w:rsid w:val="005267CB"/>
    <w:rsid w:val="00526ECD"/>
    <w:rsid w:val="00527498"/>
    <w:rsid w:val="00527BC6"/>
    <w:rsid w:val="00530E8E"/>
    <w:rsid w:val="005320D7"/>
    <w:rsid w:val="005329A5"/>
    <w:rsid w:val="00533945"/>
    <w:rsid w:val="00533CE0"/>
    <w:rsid w:val="0053483B"/>
    <w:rsid w:val="005358EE"/>
    <w:rsid w:val="00535CDC"/>
    <w:rsid w:val="0053661D"/>
    <w:rsid w:val="00536C02"/>
    <w:rsid w:val="005410B3"/>
    <w:rsid w:val="00541619"/>
    <w:rsid w:val="00542575"/>
    <w:rsid w:val="00542BE4"/>
    <w:rsid w:val="005440A1"/>
    <w:rsid w:val="00544314"/>
    <w:rsid w:val="00544678"/>
    <w:rsid w:val="00546FD4"/>
    <w:rsid w:val="00547725"/>
    <w:rsid w:val="00550480"/>
    <w:rsid w:val="00551578"/>
    <w:rsid w:val="0055252F"/>
    <w:rsid w:val="0055266E"/>
    <w:rsid w:val="00552C0E"/>
    <w:rsid w:val="005532BC"/>
    <w:rsid w:val="00554154"/>
    <w:rsid w:val="0055511E"/>
    <w:rsid w:val="00556DA1"/>
    <w:rsid w:val="005573D8"/>
    <w:rsid w:val="00560385"/>
    <w:rsid w:val="00561394"/>
    <w:rsid w:val="0056163D"/>
    <w:rsid w:val="005617D2"/>
    <w:rsid w:val="005625A9"/>
    <w:rsid w:val="00562E62"/>
    <w:rsid w:val="00563529"/>
    <w:rsid w:val="00565992"/>
    <w:rsid w:val="00566D1F"/>
    <w:rsid w:val="00566D66"/>
    <w:rsid w:val="00566F61"/>
    <w:rsid w:val="00567510"/>
    <w:rsid w:val="00567E9C"/>
    <w:rsid w:val="00567EB5"/>
    <w:rsid w:val="00571CA9"/>
    <w:rsid w:val="00572450"/>
    <w:rsid w:val="0057441C"/>
    <w:rsid w:val="00574D47"/>
    <w:rsid w:val="005751DB"/>
    <w:rsid w:val="005759B3"/>
    <w:rsid w:val="005767C1"/>
    <w:rsid w:val="00576B81"/>
    <w:rsid w:val="0058023C"/>
    <w:rsid w:val="00580DA1"/>
    <w:rsid w:val="00580F9B"/>
    <w:rsid w:val="005813FC"/>
    <w:rsid w:val="005823A3"/>
    <w:rsid w:val="00582819"/>
    <w:rsid w:val="00583C00"/>
    <w:rsid w:val="00585B00"/>
    <w:rsid w:val="005868C0"/>
    <w:rsid w:val="005873DF"/>
    <w:rsid w:val="00587A7B"/>
    <w:rsid w:val="00590896"/>
    <w:rsid w:val="00590F65"/>
    <w:rsid w:val="005910CB"/>
    <w:rsid w:val="0059160A"/>
    <w:rsid w:val="0059176D"/>
    <w:rsid w:val="00591F03"/>
    <w:rsid w:val="00592122"/>
    <w:rsid w:val="00592A05"/>
    <w:rsid w:val="00593921"/>
    <w:rsid w:val="005946AD"/>
    <w:rsid w:val="00594BC8"/>
    <w:rsid w:val="005960F3"/>
    <w:rsid w:val="005964B1"/>
    <w:rsid w:val="00597242"/>
    <w:rsid w:val="005972DE"/>
    <w:rsid w:val="005A1E98"/>
    <w:rsid w:val="005A315E"/>
    <w:rsid w:val="005A3958"/>
    <w:rsid w:val="005A3C4C"/>
    <w:rsid w:val="005A3D46"/>
    <w:rsid w:val="005A62C1"/>
    <w:rsid w:val="005A77B9"/>
    <w:rsid w:val="005A7BC0"/>
    <w:rsid w:val="005B0B7E"/>
    <w:rsid w:val="005B1C49"/>
    <w:rsid w:val="005B50BC"/>
    <w:rsid w:val="005B5293"/>
    <w:rsid w:val="005B707F"/>
    <w:rsid w:val="005B7411"/>
    <w:rsid w:val="005C0863"/>
    <w:rsid w:val="005C1BB0"/>
    <w:rsid w:val="005C3F03"/>
    <w:rsid w:val="005C4569"/>
    <w:rsid w:val="005C62CD"/>
    <w:rsid w:val="005C68E0"/>
    <w:rsid w:val="005C7F23"/>
    <w:rsid w:val="005D1794"/>
    <w:rsid w:val="005D2278"/>
    <w:rsid w:val="005D3736"/>
    <w:rsid w:val="005D3AC2"/>
    <w:rsid w:val="005D3E7F"/>
    <w:rsid w:val="005D4065"/>
    <w:rsid w:val="005D505A"/>
    <w:rsid w:val="005D50C4"/>
    <w:rsid w:val="005D5E25"/>
    <w:rsid w:val="005E0500"/>
    <w:rsid w:val="005E0B6C"/>
    <w:rsid w:val="005E1441"/>
    <w:rsid w:val="005E1D36"/>
    <w:rsid w:val="005E20F6"/>
    <w:rsid w:val="005E270A"/>
    <w:rsid w:val="005E375B"/>
    <w:rsid w:val="005E38E4"/>
    <w:rsid w:val="005E3AE1"/>
    <w:rsid w:val="005E421F"/>
    <w:rsid w:val="005E46AF"/>
    <w:rsid w:val="005E4D6C"/>
    <w:rsid w:val="005E6186"/>
    <w:rsid w:val="005E7211"/>
    <w:rsid w:val="005E7C6C"/>
    <w:rsid w:val="005F30A9"/>
    <w:rsid w:val="005F42C4"/>
    <w:rsid w:val="005F6C0E"/>
    <w:rsid w:val="005F6DAC"/>
    <w:rsid w:val="005F6F32"/>
    <w:rsid w:val="005F75DA"/>
    <w:rsid w:val="005F791F"/>
    <w:rsid w:val="00600D85"/>
    <w:rsid w:val="0060107F"/>
    <w:rsid w:val="00603012"/>
    <w:rsid w:val="00604615"/>
    <w:rsid w:val="00604E35"/>
    <w:rsid w:val="0060609A"/>
    <w:rsid w:val="006074EF"/>
    <w:rsid w:val="006078A1"/>
    <w:rsid w:val="006111F4"/>
    <w:rsid w:val="006115F1"/>
    <w:rsid w:val="00611C94"/>
    <w:rsid w:val="00612704"/>
    <w:rsid w:val="00615621"/>
    <w:rsid w:val="006159FA"/>
    <w:rsid w:val="00615DF2"/>
    <w:rsid w:val="006178DB"/>
    <w:rsid w:val="006207E2"/>
    <w:rsid w:val="00622C6A"/>
    <w:rsid w:val="00625045"/>
    <w:rsid w:val="006267B7"/>
    <w:rsid w:val="00627E2D"/>
    <w:rsid w:val="006318D0"/>
    <w:rsid w:val="0063201C"/>
    <w:rsid w:val="00632E99"/>
    <w:rsid w:val="0063444D"/>
    <w:rsid w:val="0063663B"/>
    <w:rsid w:val="00641B9D"/>
    <w:rsid w:val="00643B03"/>
    <w:rsid w:val="006454FE"/>
    <w:rsid w:val="00647AFE"/>
    <w:rsid w:val="0065053A"/>
    <w:rsid w:val="00650817"/>
    <w:rsid w:val="00650CA1"/>
    <w:rsid w:val="006528A7"/>
    <w:rsid w:val="00652BDC"/>
    <w:rsid w:val="006532D9"/>
    <w:rsid w:val="00654344"/>
    <w:rsid w:val="006556A8"/>
    <w:rsid w:val="00655BE2"/>
    <w:rsid w:val="00656C72"/>
    <w:rsid w:val="006574FB"/>
    <w:rsid w:val="00663BC6"/>
    <w:rsid w:val="00663FA4"/>
    <w:rsid w:val="00664BD3"/>
    <w:rsid w:val="0066537F"/>
    <w:rsid w:val="00670117"/>
    <w:rsid w:val="00671707"/>
    <w:rsid w:val="006726EA"/>
    <w:rsid w:val="00672801"/>
    <w:rsid w:val="0067335E"/>
    <w:rsid w:val="00673A26"/>
    <w:rsid w:val="00673B8A"/>
    <w:rsid w:val="006755EE"/>
    <w:rsid w:val="006761E7"/>
    <w:rsid w:val="0068022A"/>
    <w:rsid w:val="006805C0"/>
    <w:rsid w:val="00681D3D"/>
    <w:rsid w:val="00682079"/>
    <w:rsid w:val="00684D2D"/>
    <w:rsid w:val="00684E32"/>
    <w:rsid w:val="00685AAD"/>
    <w:rsid w:val="00686CAF"/>
    <w:rsid w:val="006909D1"/>
    <w:rsid w:val="00690E02"/>
    <w:rsid w:val="00691542"/>
    <w:rsid w:val="006921B9"/>
    <w:rsid w:val="00692BFB"/>
    <w:rsid w:val="00694018"/>
    <w:rsid w:val="00694422"/>
    <w:rsid w:val="0069475C"/>
    <w:rsid w:val="006970A9"/>
    <w:rsid w:val="006A024A"/>
    <w:rsid w:val="006A0F21"/>
    <w:rsid w:val="006A2BA6"/>
    <w:rsid w:val="006A38AD"/>
    <w:rsid w:val="006A44AB"/>
    <w:rsid w:val="006A5490"/>
    <w:rsid w:val="006A6ED4"/>
    <w:rsid w:val="006A6F09"/>
    <w:rsid w:val="006A6F66"/>
    <w:rsid w:val="006A7550"/>
    <w:rsid w:val="006B1A5F"/>
    <w:rsid w:val="006B2CD1"/>
    <w:rsid w:val="006B3683"/>
    <w:rsid w:val="006B6722"/>
    <w:rsid w:val="006B7C07"/>
    <w:rsid w:val="006B7CEE"/>
    <w:rsid w:val="006B7E37"/>
    <w:rsid w:val="006C0097"/>
    <w:rsid w:val="006C07B7"/>
    <w:rsid w:val="006C1B28"/>
    <w:rsid w:val="006C21FD"/>
    <w:rsid w:val="006C2384"/>
    <w:rsid w:val="006C36A9"/>
    <w:rsid w:val="006C5B49"/>
    <w:rsid w:val="006C627F"/>
    <w:rsid w:val="006C7267"/>
    <w:rsid w:val="006D03AB"/>
    <w:rsid w:val="006D2311"/>
    <w:rsid w:val="006D2D93"/>
    <w:rsid w:val="006D6EA6"/>
    <w:rsid w:val="006D7863"/>
    <w:rsid w:val="006E050B"/>
    <w:rsid w:val="006E13A2"/>
    <w:rsid w:val="006E3A1E"/>
    <w:rsid w:val="006E3C9F"/>
    <w:rsid w:val="006E48BB"/>
    <w:rsid w:val="006E4A1B"/>
    <w:rsid w:val="006E6846"/>
    <w:rsid w:val="006E7138"/>
    <w:rsid w:val="006E7A59"/>
    <w:rsid w:val="006E7E62"/>
    <w:rsid w:val="006F2314"/>
    <w:rsid w:val="006F2469"/>
    <w:rsid w:val="006F2BFB"/>
    <w:rsid w:val="006F3299"/>
    <w:rsid w:val="006F37B2"/>
    <w:rsid w:val="006F5D6D"/>
    <w:rsid w:val="006F6D32"/>
    <w:rsid w:val="006F73BC"/>
    <w:rsid w:val="006F7DB1"/>
    <w:rsid w:val="006F7FAD"/>
    <w:rsid w:val="007013F9"/>
    <w:rsid w:val="00702300"/>
    <w:rsid w:val="007027E5"/>
    <w:rsid w:val="00703603"/>
    <w:rsid w:val="007044C7"/>
    <w:rsid w:val="0070571F"/>
    <w:rsid w:val="00706453"/>
    <w:rsid w:val="00706908"/>
    <w:rsid w:val="00707363"/>
    <w:rsid w:val="007073A4"/>
    <w:rsid w:val="00711EEC"/>
    <w:rsid w:val="00712261"/>
    <w:rsid w:val="007134B8"/>
    <w:rsid w:val="007142DC"/>
    <w:rsid w:val="00716393"/>
    <w:rsid w:val="007164F8"/>
    <w:rsid w:val="0071698F"/>
    <w:rsid w:val="007169A3"/>
    <w:rsid w:val="00717295"/>
    <w:rsid w:val="0071729E"/>
    <w:rsid w:val="007210A0"/>
    <w:rsid w:val="00723723"/>
    <w:rsid w:val="0072430D"/>
    <w:rsid w:val="00724590"/>
    <w:rsid w:val="00724C12"/>
    <w:rsid w:val="007261C7"/>
    <w:rsid w:val="00726E4F"/>
    <w:rsid w:val="0072746B"/>
    <w:rsid w:val="00730BF3"/>
    <w:rsid w:val="00731276"/>
    <w:rsid w:val="0073159A"/>
    <w:rsid w:val="00733674"/>
    <w:rsid w:val="0073469B"/>
    <w:rsid w:val="00736402"/>
    <w:rsid w:val="0073664A"/>
    <w:rsid w:val="007379A6"/>
    <w:rsid w:val="00737E5F"/>
    <w:rsid w:val="007419A5"/>
    <w:rsid w:val="007419D1"/>
    <w:rsid w:val="007436EB"/>
    <w:rsid w:val="007447CF"/>
    <w:rsid w:val="00744C9A"/>
    <w:rsid w:val="0074519C"/>
    <w:rsid w:val="0074654E"/>
    <w:rsid w:val="00747461"/>
    <w:rsid w:val="00747948"/>
    <w:rsid w:val="00747C0F"/>
    <w:rsid w:val="00751420"/>
    <w:rsid w:val="007517AD"/>
    <w:rsid w:val="00751837"/>
    <w:rsid w:val="00751AC8"/>
    <w:rsid w:val="00752072"/>
    <w:rsid w:val="00752BDC"/>
    <w:rsid w:val="00753448"/>
    <w:rsid w:val="00753DAC"/>
    <w:rsid w:val="0075462B"/>
    <w:rsid w:val="007569B6"/>
    <w:rsid w:val="00757E0C"/>
    <w:rsid w:val="007600D8"/>
    <w:rsid w:val="00762E16"/>
    <w:rsid w:val="00763D0F"/>
    <w:rsid w:val="0076568D"/>
    <w:rsid w:val="0076585C"/>
    <w:rsid w:val="00765E00"/>
    <w:rsid w:val="00766743"/>
    <w:rsid w:val="00766A99"/>
    <w:rsid w:val="00767618"/>
    <w:rsid w:val="00767BD0"/>
    <w:rsid w:val="00767D06"/>
    <w:rsid w:val="00770D8D"/>
    <w:rsid w:val="00770F9C"/>
    <w:rsid w:val="00775B12"/>
    <w:rsid w:val="007826FF"/>
    <w:rsid w:val="00782941"/>
    <w:rsid w:val="00782BF3"/>
    <w:rsid w:val="0078309C"/>
    <w:rsid w:val="00783700"/>
    <w:rsid w:val="00783CEF"/>
    <w:rsid w:val="00783F17"/>
    <w:rsid w:val="007855D3"/>
    <w:rsid w:val="00787027"/>
    <w:rsid w:val="007871AF"/>
    <w:rsid w:val="00787D7A"/>
    <w:rsid w:val="0079029D"/>
    <w:rsid w:val="007930D0"/>
    <w:rsid w:val="007937EC"/>
    <w:rsid w:val="00794E16"/>
    <w:rsid w:val="007953BC"/>
    <w:rsid w:val="00796CF1"/>
    <w:rsid w:val="0079761C"/>
    <w:rsid w:val="007A151A"/>
    <w:rsid w:val="007A1BAA"/>
    <w:rsid w:val="007A2382"/>
    <w:rsid w:val="007A2A8E"/>
    <w:rsid w:val="007A2B71"/>
    <w:rsid w:val="007A64E4"/>
    <w:rsid w:val="007A6A0D"/>
    <w:rsid w:val="007B04AA"/>
    <w:rsid w:val="007B0979"/>
    <w:rsid w:val="007B39F1"/>
    <w:rsid w:val="007B44EF"/>
    <w:rsid w:val="007B5D85"/>
    <w:rsid w:val="007B5DC9"/>
    <w:rsid w:val="007B6EEA"/>
    <w:rsid w:val="007B756F"/>
    <w:rsid w:val="007B7690"/>
    <w:rsid w:val="007C035E"/>
    <w:rsid w:val="007C0F17"/>
    <w:rsid w:val="007C18AD"/>
    <w:rsid w:val="007C1CB7"/>
    <w:rsid w:val="007C1EAA"/>
    <w:rsid w:val="007C1F85"/>
    <w:rsid w:val="007C25FD"/>
    <w:rsid w:val="007C28A9"/>
    <w:rsid w:val="007C42D2"/>
    <w:rsid w:val="007C785D"/>
    <w:rsid w:val="007D1BFE"/>
    <w:rsid w:val="007D21C3"/>
    <w:rsid w:val="007D337B"/>
    <w:rsid w:val="007D41F5"/>
    <w:rsid w:val="007D5882"/>
    <w:rsid w:val="007D738F"/>
    <w:rsid w:val="007D7835"/>
    <w:rsid w:val="007E0C3E"/>
    <w:rsid w:val="007E0CB0"/>
    <w:rsid w:val="007E3285"/>
    <w:rsid w:val="007E3CDD"/>
    <w:rsid w:val="007E4933"/>
    <w:rsid w:val="007E59DF"/>
    <w:rsid w:val="007E750C"/>
    <w:rsid w:val="007E7BCF"/>
    <w:rsid w:val="007F01B4"/>
    <w:rsid w:val="007F2069"/>
    <w:rsid w:val="007F2921"/>
    <w:rsid w:val="007F2FA3"/>
    <w:rsid w:val="007F3783"/>
    <w:rsid w:val="007F644D"/>
    <w:rsid w:val="007F6DBE"/>
    <w:rsid w:val="00800FDD"/>
    <w:rsid w:val="00803F97"/>
    <w:rsid w:val="008065F7"/>
    <w:rsid w:val="00810202"/>
    <w:rsid w:val="008109AA"/>
    <w:rsid w:val="0081331B"/>
    <w:rsid w:val="008147E1"/>
    <w:rsid w:val="00815D5E"/>
    <w:rsid w:val="008161C0"/>
    <w:rsid w:val="0082003E"/>
    <w:rsid w:val="00820139"/>
    <w:rsid w:val="008203B7"/>
    <w:rsid w:val="00820CFE"/>
    <w:rsid w:val="00821498"/>
    <w:rsid w:val="00821D72"/>
    <w:rsid w:val="00822066"/>
    <w:rsid w:val="008234FD"/>
    <w:rsid w:val="00823C87"/>
    <w:rsid w:val="0082528B"/>
    <w:rsid w:val="00825ACA"/>
    <w:rsid w:val="00825EA4"/>
    <w:rsid w:val="008265F5"/>
    <w:rsid w:val="008266AF"/>
    <w:rsid w:val="008268BD"/>
    <w:rsid w:val="00830579"/>
    <w:rsid w:val="00831D25"/>
    <w:rsid w:val="00832485"/>
    <w:rsid w:val="00833B4A"/>
    <w:rsid w:val="0083514C"/>
    <w:rsid w:val="008352CD"/>
    <w:rsid w:val="00840C32"/>
    <w:rsid w:val="008411F6"/>
    <w:rsid w:val="0084133E"/>
    <w:rsid w:val="008429B5"/>
    <w:rsid w:val="0084390A"/>
    <w:rsid w:val="00843A46"/>
    <w:rsid w:val="00844B5E"/>
    <w:rsid w:val="00845D64"/>
    <w:rsid w:val="00847DC0"/>
    <w:rsid w:val="008528E8"/>
    <w:rsid w:val="0085350F"/>
    <w:rsid w:val="00854D47"/>
    <w:rsid w:val="00855BBB"/>
    <w:rsid w:val="00856841"/>
    <w:rsid w:val="00856897"/>
    <w:rsid w:val="00856CEA"/>
    <w:rsid w:val="00857050"/>
    <w:rsid w:val="00860FA5"/>
    <w:rsid w:val="008617AB"/>
    <w:rsid w:val="00862BD9"/>
    <w:rsid w:val="00862E23"/>
    <w:rsid w:val="00863E28"/>
    <w:rsid w:val="00864EE5"/>
    <w:rsid w:val="008669B0"/>
    <w:rsid w:val="00866CA2"/>
    <w:rsid w:val="00866D27"/>
    <w:rsid w:val="00867476"/>
    <w:rsid w:val="008708CC"/>
    <w:rsid w:val="00874C17"/>
    <w:rsid w:val="008760C1"/>
    <w:rsid w:val="00876408"/>
    <w:rsid w:val="00877B6B"/>
    <w:rsid w:val="00877FAB"/>
    <w:rsid w:val="0088186E"/>
    <w:rsid w:val="00882362"/>
    <w:rsid w:val="00882389"/>
    <w:rsid w:val="0088349B"/>
    <w:rsid w:val="00884DFD"/>
    <w:rsid w:val="00884FE6"/>
    <w:rsid w:val="00885189"/>
    <w:rsid w:val="00886484"/>
    <w:rsid w:val="008864A8"/>
    <w:rsid w:val="00886E9C"/>
    <w:rsid w:val="00887129"/>
    <w:rsid w:val="008878ED"/>
    <w:rsid w:val="00887AE3"/>
    <w:rsid w:val="00887EAF"/>
    <w:rsid w:val="00890C21"/>
    <w:rsid w:val="00892D66"/>
    <w:rsid w:val="00894DEB"/>
    <w:rsid w:val="008976AC"/>
    <w:rsid w:val="008978AA"/>
    <w:rsid w:val="008A02C7"/>
    <w:rsid w:val="008A0308"/>
    <w:rsid w:val="008A049E"/>
    <w:rsid w:val="008A067D"/>
    <w:rsid w:val="008A1801"/>
    <w:rsid w:val="008A48A5"/>
    <w:rsid w:val="008A4D9B"/>
    <w:rsid w:val="008A6661"/>
    <w:rsid w:val="008A6912"/>
    <w:rsid w:val="008A6D2F"/>
    <w:rsid w:val="008A6F1E"/>
    <w:rsid w:val="008B0FF7"/>
    <w:rsid w:val="008B15D5"/>
    <w:rsid w:val="008B33C9"/>
    <w:rsid w:val="008B41D9"/>
    <w:rsid w:val="008B47A9"/>
    <w:rsid w:val="008B63FD"/>
    <w:rsid w:val="008B68A3"/>
    <w:rsid w:val="008B6B75"/>
    <w:rsid w:val="008B6CDE"/>
    <w:rsid w:val="008B72F1"/>
    <w:rsid w:val="008C0E1E"/>
    <w:rsid w:val="008C159F"/>
    <w:rsid w:val="008C3526"/>
    <w:rsid w:val="008C35BD"/>
    <w:rsid w:val="008C366C"/>
    <w:rsid w:val="008C43F0"/>
    <w:rsid w:val="008C4908"/>
    <w:rsid w:val="008C4E28"/>
    <w:rsid w:val="008C6109"/>
    <w:rsid w:val="008C6939"/>
    <w:rsid w:val="008C78B8"/>
    <w:rsid w:val="008D04A4"/>
    <w:rsid w:val="008D1452"/>
    <w:rsid w:val="008D2B33"/>
    <w:rsid w:val="008D2F5C"/>
    <w:rsid w:val="008D379A"/>
    <w:rsid w:val="008D573F"/>
    <w:rsid w:val="008D6749"/>
    <w:rsid w:val="008D70C3"/>
    <w:rsid w:val="008D75EE"/>
    <w:rsid w:val="008D7B6C"/>
    <w:rsid w:val="008E0B64"/>
    <w:rsid w:val="008E2200"/>
    <w:rsid w:val="008E2AB0"/>
    <w:rsid w:val="008E2D7E"/>
    <w:rsid w:val="008E4399"/>
    <w:rsid w:val="008E7950"/>
    <w:rsid w:val="008F09F0"/>
    <w:rsid w:val="008F0C6B"/>
    <w:rsid w:val="008F1637"/>
    <w:rsid w:val="008F47DB"/>
    <w:rsid w:val="008F5259"/>
    <w:rsid w:val="008F5ED8"/>
    <w:rsid w:val="008F651D"/>
    <w:rsid w:val="008F6B64"/>
    <w:rsid w:val="009019D8"/>
    <w:rsid w:val="00901B08"/>
    <w:rsid w:val="009036BB"/>
    <w:rsid w:val="009146EC"/>
    <w:rsid w:val="00916D88"/>
    <w:rsid w:val="0092017A"/>
    <w:rsid w:val="009208DC"/>
    <w:rsid w:val="009213BC"/>
    <w:rsid w:val="009228C6"/>
    <w:rsid w:val="00923E05"/>
    <w:rsid w:val="0092506F"/>
    <w:rsid w:val="00925474"/>
    <w:rsid w:val="009257E2"/>
    <w:rsid w:val="009259F9"/>
    <w:rsid w:val="00925D4C"/>
    <w:rsid w:val="0092682D"/>
    <w:rsid w:val="009310E8"/>
    <w:rsid w:val="00931623"/>
    <w:rsid w:val="00933243"/>
    <w:rsid w:val="009337D7"/>
    <w:rsid w:val="00933A6F"/>
    <w:rsid w:val="009354AC"/>
    <w:rsid w:val="009363F2"/>
    <w:rsid w:val="00937036"/>
    <w:rsid w:val="00940222"/>
    <w:rsid w:val="00940C4E"/>
    <w:rsid w:val="009411CC"/>
    <w:rsid w:val="00941B3A"/>
    <w:rsid w:val="00941C61"/>
    <w:rsid w:val="00942DF3"/>
    <w:rsid w:val="009434E4"/>
    <w:rsid w:val="00944FDA"/>
    <w:rsid w:val="00945236"/>
    <w:rsid w:val="00945DA2"/>
    <w:rsid w:val="00946650"/>
    <w:rsid w:val="0094712A"/>
    <w:rsid w:val="0095005B"/>
    <w:rsid w:val="00950259"/>
    <w:rsid w:val="00951C15"/>
    <w:rsid w:val="0095256E"/>
    <w:rsid w:val="00954818"/>
    <w:rsid w:val="0095493B"/>
    <w:rsid w:val="00954CD1"/>
    <w:rsid w:val="00955D46"/>
    <w:rsid w:val="00961098"/>
    <w:rsid w:val="009621C3"/>
    <w:rsid w:val="009623DC"/>
    <w:rsid w:val="00962446"/>
    <w:rsid w:val="0096350A"/>
    <w:rsid w:val="00964B36"/>
    <w:rsid w:val="00964D27"/>
    <w:rsid w:val="00965996"/>
    <w:rsid w:val="009662E6"/>
    <w:rsid w:val="009663B4"/>
    <w:rsid w:val="0096746A"/>
    <w:rsid w:val="009678F9"/>
    <w:rsid w:val="00970AE1"/>
    <w:rsid w:val="00970F83"/>
    <w:rsid w:val="009725DB"/>
    <w:rsid w:val="009730E0"/>
    <w:rsid w:val="00973873"/>
    <w:rsid w:val="00975FA1"/>
    <w:rsid w:val="00976226"/>
    <w:rsid w:val="009769E7"/>
    <w:rsid w:val="009839B6"/>
    <w:rsid w:val="009854C1"/>
    <w:rsid w:val="00985EB5"/>
    <w:rsid w:val="00987468"/>
    <w:rsid w:val="00987D82"/>
    <w:rsid w:val="0099042A"/>
    <w:rsid w:val="0099090C"/>
    <w:rsid w:val="00990C29"/>
    <w:rsid w:val="009911F9"/>
    <w:rsid w:val="0099160B"/>
    <w:rsid w:val="00991A10"/>
    <w:rsid w:val="00994D22"/>
    <w:rsid w:val="00995427"/>
    <w:rsid w:val="009957FD"/>
    <w:rsid w:val="00995CCC"/>
    <w:rsid w:val="00996601"/>
    <w:rsid w:val="00996C5D"/>
    <w:rsid w:val="00996CC8"/>
    <w:rsid w:val="00996F70"/>
    <w:rsid w:val="009970D7"/>
    <w:rsid w:val="009A1861"/>
    <w:rsid w:val="009A4890"/>
    <w:rsid w:val="009A4DF9"/>
    <w:rsid w:val="009A4F9D"/>
    <w:rsid w:val="009B18AA"/>
    <w:rsid w:val="009B3589"/>
    <w:rsid w:val="009B4B35"/>
    <w:rsid w:val="009B562A"/>
    <w:rsid w:val="009B5A63"/>
    <w:rsid w:val="009C014A"/>
    <w:rsid w:val="009C10A2"/>
    <w:rsid w:val="009C1334"/>
    <w:rsid w:val="009C2087"/>
    <w:rsid w:val="009C75DA"/>
    <w:rsid w:val="009C763E"/>
    <w:rsid w:val="009C7766"/>
    <w:rsid w:val="009D0DA6"/>
    <w:rsid w:val="009D2913"/>
    <w:rsid w:val="009D2B03"/>
    <w:rsid w:val="009D3F49"/>
    <w:rsid w:val="009D49CC"/>
    <w:rsid w:val="009D5EB3"/>
    <w:rsid w:val="009D6D31"/>
    <w:rsid w:val="009E032C"/>
    <w:rsid w:val="009E2099"/>
    <w:rsid w:val="009E2405"/>
    <w:rsid w:val="009E2AE0"/>
    <w:rsid w:val="009E2D1C"/>
    <w:rsid w:val="009E499D"/>
    <w:rsid w:val="009E5F24"/>
    <w:rsid w:val="009E6C14"/>
    <w:rsid w:val="009E6CEE"/>
    <w:rsid w:val="009E7559"/>
    <w:rsid w:val="009E76DF"/>
    <w:rsid w:val="009F05E5"/>
    <w:rsid w:val="009F2283"/>
    <w:rsid w:val="009F30DF"/>
    <w:rsid w:val="009F34A5"/>
    <w:rsid w:val="009F3A1A"/>
    <w:rsid w:val="009F4166"/>
    <w:rsid w:val="009F638B"/>
    <w:rsid w:val="009F713D"/>
    <w:rsid w:val="00A00ED5"/>
    <w:rsid w:val="00A00EE4"/>
    <w:rsid w:val="00A01D74"/>
    <w:rsid w:val="00A03AAC"/>
    <w:rsid w:val="00A03B1C"/>
    <w:rsid w:val="00A04186"/>
    <w:rsid w:val="00A0441D"/>
    <w:rsid w:val="00A056A1"/>
    <w:rsid w:val="00A06388"/>
    <w:rsid w:val="00A06A3F"/>
    <w:rsid w:val="00A06B68"/>
    <w:rsid w:val="00A07291"/>
    <w:rsid w:val="00A10291"/>
    <w:rsid w:val="00A11F28"/>
    <w:rsid w:val="00A15468"/>
    <w:rsid w:val="00A163B4"/>
    <w:rsid w:val="00A164A4"/>
    <w:rsid w:val="00A17662"/>
    <w:rsid w:val="00A17B6F"/>
    <w:rsid w:val="00A20AC0"/>
    <w:rsid w:val="00A20CDC"/>
    <w:rsid w:val="00A21064"/>
    <w:rsid w:val="00A21792"/>
    <w:rsid w:val="00A2201F"/>
    <w:rsid w:val="00A223EE"/>
    <w:rsid w:val="00A23A79"/>
    <w:rsid w:val="00A23D62"/>
    <w:rsid w:val="00A23FE0"/>
    <w:rsid w:val="00A24739"/>
    <w:rsid w:val="00A252C2"/>
    <w:rsid w:val="00A26A87"/>
    <w:rsid w:val="00A271EA"/>
    <w:rsid w:val="00A30928"/>
    <w:rsid w:val="00A31843"/>
    <w:rsid w:val="00A33701"/>
    <w:rsid w:val="00A33734"/>
    <w:rsid w:val="00A33C76"/>
    <w:rsid w:val="00A33F5A"/>
    <w:rsid w:val="00A34948"/>
    <w:rsid w:val="00A370AF"/>
    <w:rsid w:val="00A37161"/>
    <w:rsid w:val="00A409DC"/>
    <w:rsid w:val="00A41461"/>
    <w:rsid w:val="00A436C3"/>
    <w:rsid w:val="00A47198"/>
    <w:rsid w:val="00A4748F"/>
    <w:rsid w:val="00A50941"/>
    <w:rsid w:val="00A50CE9"/>
    <w:rsid w:val="00A52D40"/>
    <w:rsid w:val="00A532E2"/>
    <w:rsid w:val="00A5352F"/>
    <w:rsid w:val="00A538DE"/>
    <w:rsid w:val="00A53DB8"/>
    <w:rsid w:val="00A55392"/>
    <w:rsid w:val="00A553A0"/>
    <w:rsid w:val="00A605E4"/>
    <w:rsid w:val="00A610E9"/>
    <w:rsid w:val="00A614C8"/>
    <w:rsid w:val="00A61667"/>
    <w:rsid w:val="00A64188"/>
    <w:rsid w:val="00A6485B"/>
    <w:rsid w:val="00A66A0B"/>
    <w:rsid w:val="00A66AB2"/>
    <w:rsid w:val="00A66BA8"/>
    <w:rsid w:val="00A701F3"/>
    <w:rsid w:val="00A70655"/>
    <w:rsid w:val="00A70E8F"/>
    <w:rsid w:val="00A70EE2"/>
    <w:rsid w:val="00A72797"/>
    <w:rsid w:val="00A7315F"/>
    <w:rsid w:val="00A741E3"/>
    <w:rsid w:val="00A756C0"/>
    <w:rsid w:val="00A767C1"/>
    <w:rsid w:val="00A768C3"/>
    <w:rsid w:val="00A81D06"/>
    <w:rsid w:val="00A8222E"/>
    <w:rsid w:val="00A829D1"/>
    <w:rsid w:val="00A839A2"/>
    <w:rsid w:val="00A842A6"/>
    <w:rsid w:val="00A849A9"/>
    <w:rsid w:val="00A90D9F"/>
    <w:rsid w:val="00A91D56"/>
    <w:rsid w:val="00A93E6F"/>
    <w:rsid w:val="00A94447"/>
    <w:rsid w:val="00A95923"/>
    <w:rsid w:val="00A97E1D"/>
    <w:rsid w:val="00AA041F"/>
    <w:rsid w:val="00AA0638"/>
    <w:rsid w:val="00AA1A5C"/>
    <w:rsid w:val="00AA29C7"/>
    <w:rsid w:val="00AA2EE9"/>
    <w:rsid w:val="00AA3F79"/>
    <w:rsid w:val="00AA4958"/>
    <w:rsid w:val="00AA4D66"/>
    <w:rsid w:val="00AA4DA9"/>
    <w:rsid w:val="00AA634C"/>
    <w:rsid w:val="00AA6AF8"/>
    <w:rsid w:val="00AA7632"/>
    <w:rsid w:val="00AA7B08"/>
    <w:rsid w:val="00AB04CE"/>
    <w:rsid w:val="00AB11A6"/>
    <w:rsid w:val="00AB24B7"/>
    <w:rsid w:val="00AB3AC8"/>
    <w:rsid w:val="00AB53B5"/>
    <w:rsid w:val="00AB73F4"/>
    <w:rsid w:val="00AC0918"/>
    <w:rsid w:val="00AC0BAB"/>
    <w:rsid w:val="00AC0CEF"/>
    <w:rsid w:val="00AC22B6"/>
    <w:rsid w:val="00AC25B0"/>
    <w:rsid w:val="00AC2652"/>
    <w:rsid w:val="00AC5456"/>
    <w:rsid w:val="00AD0FED"/>
    <w:rsid w:val="00AD14DD"/>
    <w:rsid w:val="00AD1A87"/>
    <w:rsid w:val="00AD1D87"/>
    <w:rsid w:val="00AD2BAF"/>
    <w:rsid w:val="00AD3ADB"/>
    <w:rsid w:val="00AD581A"/>
    <w:rsid w:val="00AD5B02"/>
    <w:rsid w:val="00AD5E39"/>
    <w:rsid w:val="00AD68B5"/>
    <w:rsid w:val="00AD7AB2"/>
    <w:rsid w:val="00AD7D84"/>
    <w:rsid w:val="00AE0027"/>
    <w:rsid w:val="00AE09B4"/>
    <w:rsid w:val="00AE0B7A"/>
    <w:rsid w:val="00AE19DA"/>
    <w:rsid w:val="00AE20F6"/>
    <w:rsid w:val="00AE2E6C"/>
    <w:rsid w:val="00AE331F"/>
    <w:rsid w:val="00AE34CC"/>
    <w:rsid w:val="00AE3EF3"/>
    <w:rsid w:val="00AE7D71"/>
    <w:rsid w:val="00AF1318"/>
    <w:rsid w:val="00AF38AD"/>
    <w:rsid w:val="00AF39A9"/>
    <w:rsid w:val="00AF3ABF"/>
    <w:rsid w:val="00AF3B20"/>
    <w:rsid w:val="00AF4965"/>
    <w:rsid w:val="00AF4BA5"/>
    <w:rsid w:val="00AF5856"/>
    <w:rsid w:val="00AF6EDB"/>
    <w:rsid w:val="00AF7389"/>
    <w:rsid w:val="00AF7DEF"/>
    <w:rsid w:val="00B01006"/>
    <w:rsid w:val="00B021A7"/>
    <w:rsid w:val="00B0294C"/>
    <w:rsid w:val="00B03BD0"/>
    <w:rsid w:val="00B05211"/>
    <w:rsid w:val="00B062ED"/>
    <w:rsid w:val="00B06CEA"/>
    <w:rsid w:val="00B10302"/>
    <w:rsid w:val="00B113AA"/>
    <w:rsid w:val="00B11A19"/>
    <w:rsid w:val="00B121E0"/>
    <w:rsid w:val="00B133C2"/>
    <w:rsid w:val="00B14282"/>
    <w:rsid w:val="00B1596C"/>
    <w:rsid w:val="00B15F5E"/>
    <w:rsid w:val="00B16286"/>
    <w:rsid w:val="00B16AC3"/>
    <w:rsid w:val="00B2034B"/>
    <w:rsid w:val="00B20C1B"/>
    <w:rsid w:val="00B22877"/>
    <w:rsid w:val="00B234CB"/>
    <w:rsid w:val="00B24CA4"/>
    <w:rsid w:val="00B2578A"/>
    <w:rsid w:val="00B316EC"/>
    <w:rsid w:val="00B31FE8"/>
    <w:rsid w:val="00B324FE"/>
    <w:rsid w:val="00B33D24"/>
    <w:rsid w:val="00B3462C"/>
    <w:rsid w:val="00B36909"/>
    <w:rsid w:val="00B377FE"/>
    <w:rsid w:val="00B37B4F"/>
    <w:rsid w:val="00B37D9E"/>
    <w:rsid w:val="00B402E9"/>
    <w:rsid w:val="00B40720"/>
    <w:rsid w:val="00B40E3D"/>
    <w:rsid w:val="00B4289C"/>
    <w:rsid w:val="00B438F1"/>
    <w:rsid w:val="00B440E2"/>
    <w:rsid w:val="00B4495A"/>
    <w:rsid w:val="00B44CEC"/>
    <w:rsid w:val="00B4579C"/>
    <w:rsid w:val="00B46A32"/>
    <w:rsid w:val="00B4785E"/>
    <w:rsid w:val="00B47E87"/>
    <w:rsid w:val="00B50236"/>
    <w:rsid w:val="00B52D3C"/>
    <w:rsid w:val="00B53403"/>
    <w:rsid w:val="00B55A6F"/>
    <w:rsid w:val="00B6318E"/>
    <w:rsid w:val="00B637D2"/>
    <w:rsid w:val="00B640C4"/>
    <w:rsid w:val="00B6420D"/>
    <w:rsid w:val="00B649D3"/>
    <w:rsid w:val="00B64A10"/>
    <w:rsid w:val="00B64F08"/>
    <w:rsid w:val="00B65B86"/>
    <w:rsid w:val="00B66043"/>
    <w:rsid w:val="00B66353"/>
    <w:rsid w:val="00B666E8"/>
    <w:rsid w:val="00B66F56"/>
    <w:rsid w:val="00B67C58"/>
    <w:rsid w:val="00B67E5A"/>
    <w:rsid w:val="00B706BA"/>
    <w:rsid w:val="00B71552"/>
    <w:rsid w:val="00B71631"/>
    <w:rsid w:val="00B71C4A"/>
    <w:rsid w:val="00B73231"/>
    <w:rsid w:val="00B76A57"/>
    <w:rsid w:val="00B774B3"/>
    <w:rsid w:val="00B77F3C"/>
    <w:rsid w:val="00B80B0A"/>
    <w:rsid w:val="00B80D0A"/>
    <w:rsid w:val="00B81ADA"/>
    <w:rsid w:val="00B82B7E"/>
    <w:rsid w:val="00B82F15"/>
    <w:rsid w:val="00B846FD"/>
    <w:rsid w:val="00B84934"/>
    <w:rsid w:val="00B85DE9"/>
    <w:rsid w:val="00B860CA"/>
    <w:rsid w:val="00B902EA"/>
    <w:rsid w:val="00B905FD"/>
    <w:rsid w:val="00B92D94"/>
    <w:rsid w:val="00B92EFD"/>
    <w:rsid w:val="00B94FCE"/>
    <w:rsid w:val="00B96275"/>
    <w:rsid w:val="00BA09DE"/>
    <w:rsid w:val="00BA3EBB"/>
    <w:rsid w:val="00BA4369"/>
    <w:rsid w:val="00BA6BFB"/>
    <w:rsid w:val="00BA70C7"/>
    <w:rsid w:val="00BA7D3A"/>
    <w:rsid w:val="00BB0EAA"/>
    <w:rsid w:val="00BB2F6D"/>
    <w:rsid w:val="00BB52C1"/>
    <w:rsid w:val="00BB77C6"/>
    <w:rsid w:val="00BC0DEA"/>
    <w:rsid w:val="00BC1AE1"/>
    <w:rsid w:val="00BC3AED"/>
    <w:rsid w:val="00BC3C53"/>
    <w:rsid w:val="00BC3DCF"/>
    <w:rsid w:val="00BC40B5"/>
    <w:rsid w:val="00BC53FC"/>
    <w:rsid w:val="00BC6290"/>
    <w:rsid w:val="00BC6B85"/>
    <w:rsid w:val="00BC7931"/>
    <w:rsid w:val="00BD04A8"/>
    <w:rsid w:val="00BD0A7C"/>
    <w:rsid w:val="00BD3174"/>
    <w:rsid w:val="00BD502B"/>
    <w:rsid w:val="00BD66CF"/>
    <w:rsid w:val="00BE0029"/>
    <w:rsid w:val="00BE0FF3"/>
    <w:rsid w:val="00BE1020"/>
    <w:rsid w:val="00BE16EF"/>
    <w:rsid w:val="00BE1802"/>
    <w:rsid w:val="00BE26DF"/>
    <w:rsid w:val="00BE29C2"/>
    <w:rsid w:val="00BE3533"/>
    <w:rsid w:val="00BE4366"/>
    <w:rsid w:val="00BE4EBA"/>
    <w:rsid w:val="00BE7E70"/>
    <w:rsid w:val="00BF010B"/>
    <w:rsid w:val="00BF013C"/>
    <w:rsid w:val="00BF339F"/>
    <w:rsid w:val="00BF50F0"/>
    <w:rsid w:val="00C0251B"/>
    <w:rsid w:val="00C02C9A"/>
    <w:rsid w:val="00C035C5"/>
    <w:rsid w:val="00C03E81"/>
    <w:rsid w:val="00C04B6B"/>
    <w:rsid w:val="00C059E5"/>
    <w:rsid w:val="00C0746C"/>
    <w:rsid w:val="00C1029C"/>
    <w:rsid w:val="00C12BEA"/>
    <w:rsid w:val="00C15E60"/>
    <w:rsid w:val="00C224D3"/>
    <w:rsid w:val="00C2494B"/>
    <w:rsid w:val="00C2667C"/>
    <w:rsid w:val="00C27089"/>
    <w:rsid w:val="00C27531"/>
    <w:rsid w:val="00C31064"/>
    <w:rsid w:val="00C3255D"/>
    <w:rsid w:val="00C326BE"/>
    <w:rsid w:val="00C332D5"/>
    <w:rsid w:val="00C36901"/>
    <w:rsid w:val="00C36C33"/>
    <w:rsid w:val="00C37AD3"/>
    <w:rsid w:val="00C406BE"/>
    <w:rsid w:val="00C40D24"/>
    <w:rsid w:val="00C415D1"/>
    <w:rsid w:val="00C440DF"/>
    <w:rsid w:val="00C444FE"/>
    <w:rsid w:val="00C45C95"/>
    <w:rsid w:val="00C50E34"/>
    <w:rsid w:val="00C52CBD"/>
    <w:rsid w:val="00C544C2"/>
    <w:rsid w:val="00C5668C"/>
    <w:rsid w:val="00C56DB6"/>
    <w:rsid w:val="00C60D69"/>
    <w:rsid w:val="00C62A11"/>
    <w:rsid w:val="00C62FE2"/>
    <w:rsid w:val="00C63B74"/>
    <w:rsid w:val="00C63D22"/>
    <w:rsid w:val="00C6405E"/>
    <w:rsid w:val="00C65499"/>
    <w:rsid w:val="00C658C1"/>
    <w:rsid w:val="00C65B87"/>
    <w:rsid w:val="00C65C9A"/>
    <w:rsid w:val="00C6751C"/>
    <w:rsid w:val="00C6767E"/>
    <w:rsid w:val="00C67CE9"/>
    <w:rsid w:val="00C7174F"/>
    <w:rsid w:val="00C744F4"/>
    <w:rsid w:val="00C74879"/>
    <w:rsid w:val="00C74F0A"/>
    <w:rsid w:val="00C763CC"/>
    <w:rsid w:val="00C76D96"/>
    <w:rsid w:val="00C77CA0"/>
    <w:rsid w:val="00C801E4"/>
    <w:rsid w:val="00C807AA"/>
    <w:rsid w:val="00C81076"/>
    <w:rsid w:val="00C81671"/>
    <w:rsid w:val="00C82236"/>
    <w:rsid w:val="00C8273F"/>
    <w:rsid w:val="00C830AA"/>
    <w:rsid w:val="00C83356"/>
    <w:rsid w:val="00C848D6"/>
    <w:rsid w:val="00C901E8"/>
    <w:rsid w:val="00C90622"/>
    <w:rsid w:val="00C9185A"/>
    <w:rsid w:val="00C92149"/>
    <w:rsid w:val="00C930F9"/>
    <w:rsid w:val="00C93ACB"/>
    <w:rsid w:val="00C9568A"/>
    <w:rsid w:val="00CA08FC"/>
    <w:rsid w:val="00CA16EE"/>
    <w:rsid w:val="00CA2943"/>
    <w:rsid w:val="00CA2FEC"/>
    <w:rsid w:val="00CA3216"/>
    <w:rsid w:val="00CA3746"/>
    <w:rsid w:val="00CA52C0"/>
    <w:rsid w:val="00CA6872"/>
    <w:rsid w:val="00CA6911"/>
    <w:rsid w:val="00CB04E6"/>
    <w:rsid w:val="00CB1E96"/>
    <w:rsid w:val="00CB3BEF"/>
    <w:rsid w:val="00CB4EAC"/>
    <w:rsid w:val="00CB6018"/>
    <w:rsid w:val="00CB6672"/>
    <w:rsid w:val="00CB6E5D"/>
    <w:rsid w:val="00CB733A"/>
    <w:rsid w:val="00CB7A90"/>
    <w:rsid w:val="00CC12CF"/>
    <w:rsid w:val="00CC3621"/>
    <w:rsid w:val="00CC3864"/>
    <w:rsid w:val="00CC511B"/>
    <w:rsid w:val="00CC52DD"/>
    <w:rsid w:val="00CC5D84"/>
    <w:rsid w:val="00CD0643"/>
    <w:rsid w:val="00CD2193"/>
    <w:rsid w:val="00CD2742"/>
    <w:rsid w:val="00CD3363"/>
    <w:rsid w:val="00CD442E"/>
    <w:rsid w:val="00CD5642"/>
    <w:rsid w:val="00CD6813"/>
    <w:rsid w:val="00CD7608"/>
    <w:rsid w:val="00CD7668"/>
    <w:rsid w:val="00CE08F7"/>
    <w:rsid w:val="00CE0C3D"/>
    <w:rsid w:val="00CE1E3C"/>
    <w:rsid w:val="00CE2C64"/>
    <w:rsid w:val="00CE4A10"/>
    <w:rsid w:val="00CE7B8C"/>
    <w:rsid w:val="00CF0052"/>
    <w:rsid w:val="00CF1532"/>
    <w:rsid w:val="00CF20D8"/>
    <w:rsid w:val="00CF295B"/>
    <w:rsid w:val="00CF2966"/>
    <w:rsid w:val="00CF3A9B"/>
    <w:rsid w:val="00CF6D04"/>
    <w:rsid w:val="00D00609"/>
    <w:rsid w:val="00D010DB"/>
    <w:rsid w:val="00D01313"/>
    <w:rsid w:val="00D02678"/>
    <w:rsid w:val="00D028D4"/>
    <w:rsid w:val="00D02D4D"/>
    <w:rsid w:val="00D0350C"/>
    <w:rsid w:val="00D03811"/>
    <w:rsid w:val="00D05F0C"/>
    <w:rsid w:val="00D0623C"/>
    <w:rsid w:val="00D06B61"/>
    <w:rsid w:val="00D06C53"/>
    <w:rsid w:val="00D07A21"/>
    <w:rsid w:val="00D10F16"/>
    <w:rsid w:val="00D1159A"/>
    <w:rsid w:val="00D11B43"/>
    <w:rsid w:val="00D12B55"/>
    <w:rsid w:val="00D12D62"/>
    <w:rsid w:val="00D13B09"/>
    <w:rsid w:val="00D13E7D"/>
    <w:rsid w:val="00D16279"/>
    <w:rsid w:val="00D16F27"/>
    <w:rsid w:val="00D17159"/>
    <w:rsid w:val="00D179A1"/>
    <w:rsid w:val="00D20046"/>
    <w:rsid w:val="00D20496"/>
    <w:rsid w:val="00D204D3"/>
    <w:rsid w:val="00D20D06"/>
    <w:rsid w:val="00D213FE"/>
    <w:rsid w:val="00D248AF"/>
    <w:rsid w:val="00D24D6C"/>
    <w:rsid w:val="00D25981"/>
    <w:rsid w:val="00D261B4"/>
    <w:rsid w:val="00D26A5B"/>
    <w:rsid w:val="00D31A32"/>
    <w:rsid w:val="00D338FD"/>
    <w:rsid w:val="00D3448B"/>
    <w:rsid w:val="00D34959"/>
    <w:rsid w:val="00D35205"/>
    <w:rsid w:val="00D37597"/>
    <w:rsid w:val="00D3784B"/>
    <w:rsid w:val="00D40293"/>
    <w:rsid w:val="00D41E12"/>
    <w:rsid w:val="00D42CD5"/>
    <w:rsid w:val="00D43ABE"/>
    <w:rsid w:val="00D443B2"/>
    <w:rsid w:val="00D459DD"/>
    <w:rsid w:val="00D45A93"/>
    <w:rsid w:val="00D52EED"/>
    <w:rsid w:val="00D53BA5"/>
    <w:rsid w:val="00D54A5F"/>
    <w:rsid w:val="00D54E80"/>
    <w:rsid w:val="00D5624C"/>
    <w:rsid w:val="00D5677E"/>
    <w:rsid w:val="00D56948"/>
    <w:rsid w:val="00D600C1"/>
    <w:rsid w:val="00D6022F"/>
    <w:rsid w:val="00D60C9B"/>
    <w:rsid w:val="00D614C0"/>
    <w:rsid w:val="00D61BC2"/>
    <w:rsid w:val="00D62443"/>
    <w:rsid w:val="00D63D4D"/>
    <w:rsid w:val="00D6508B"/>
    <w:rsid w:val="00D654DE"/>
    <w:rsid w:val="00D65B46"/>
    <w:rsid w:val="00D70AD8"/>
    <w:rsid w:val="00D70B0A"/>
    <w:rsid w:val="00D70B65"/>
    <w:rsid w:val="00D70B75"/>
    <w:rsid w:val="00D724C3"/>
    <w:rsid w:val="00D729DE"/>
    <w:rsid w:val="00D731A8"/>
    <w:rsid w:val="00D739E0"/>
    <w:rsid w:val="00D76903"/>
    <w:rsid w:val="00D76A50"/>
    <w:rsid w:val="00D80104"/>
    <w:rsid w:val="00D82A43"/>
    <w:rsid w:val="00D83A37"/>
    <w:rsid w:val="00D858A3"/>
    <w:rsid w:val="00D864E3"/>
    <w:rsid w:val="00D86B5F"/>
    <w:rsid w:val="00D90D84"/>
    <w:rsid w:val="00D918F7"/>
    <w:rsid w:val="00D926D2"/>
    <w:rsid w:val="00D92BA8"/>
    <w:rsid w:val="00D937FA"/>
    <w:rsid w:val="00D93EB1"/>
    <w:rsid w:val="00D94892"/>
    <w:rsid w:val="00D959C5"/>
    <w:rsid w:val="00D9635D"/>
    <w:rsid w:val="00D969A0"/>
    <w:rsid w:val="00D96AC4"/>
    <w:rsid w:val="00DA1A3E"/>
    <w:rsid w:val="00DA2339"/>
    <w:rsid w:val="00DA2A30"/>
    <w:rsid w:val="00DA2ED7"/>
    <w:rsid w:val="00DA4782"/>
    <w:rsid w:val="00DA4FCC"/>
    <w:rsid w:val="00DA5457"/>
    <w:rsid w:val="00DA551F"/>
    <w:rsid w:val="00DA5BFC"/>
    <w:rsid w:val="00DA6D24"/>
    <w:rsid w:val="00DA7697"/>
    <w:rsid w:val="00DA782B"/>
    <w:rsid w:val="00DB0E56"/>
    <w:rsid w:val="00DB1160"/>
    <w:rsid w:val="00DB15E2"/>
    <w:rsid w:val="00DB23AF"/>
    <w:rsid w:val="00DB2751"/>
    <w:rsid w:val="00DB4193"/>
    <w:rsid w:val="00DB507B"/>
    <w:rsid w:val="00DB5463"/>
    <w:rsid w:val="00DB6BB5"/>
    <w:rsid w:val="00DC0968"/>
    <w:rsid w:val="00DC188E"/>
    <w:rsid w:val="00DC264E"/>
    <w:rsid w:val="00DC2EA6"/>
    <w:rsid w:val="00DC34A6"/>
    <w:rsid w:val="00DC3535"/>
    <w:rsid w:val="00DC4393"/>
    <w:rsid w:val="00DC507B"/>
    <w:rsid w:val="00DC5BBC"/>
    <w:rsid w:val="00DC6BDA"/>
    <w:rsid w:val="00DC768C"/>
    <w:rsid w:val="00DD0282"/>
    <w:rsid w:val="00DD0CD2"/>
    <w:rsid w:val="00DD0DAC"/>
    <w:rsid w:val="00DD2530"/>
    <w:rsid w:val="00DD2652"/>
    <w:rsid w:val="00DD2CE5"/>
    <w:rsid w:val="00DD2FE7"/>
    <w:rsid w:val="00DD4426"/>
    <w:rsid w:val="00DD4C17"/>
    <w:rsid w:val="00DD56EE"/>
    <w:rsid w:val="00DD58CB"/>
    <w:rsid w:val="00DD5FE1"/>
    <w:rsid w:val="00DD7FF6"/>
    <w:rsid w:val="00DE14C5"/>
    <w:rsid w:val="00DE2466"/>
    <w:rsid w:val="00DE4A8A"/>
    <w:rsid w:val="00DE5D94"/>
    <w:rsid w:val="00DE7780"/>
    <w:rsid w:val="00DF0142"/>
    <w:rsid w:val="00DF0A0C"/>
    <w:rsid w:val="00DF171B"/>
    <w:rsid w:val="00DF179F"/>
    <w:rsid w:val="00DF2348"/>
    <w:rsid w:val="00DF324A"/>
    <w:rsid w:val="00DF3394"/>
    <w:rsid w:val="00DF4985"/>
    <w:rsid w:val="00DF5451"/>
    <w:rsid w:val="00DF6754"/>
    <w:rsid w:val="00DF6789"/>
    <w:rsid w:val="00E01992"/>
    <w:rsid w:val="00E02030"/>
    <w:rsid w:val="00E024D5"/>
    <w:rsid w:val="00E0330B"/>
    <w:rsid w:val="00E03AA2"/>
    <w:rsid w:val="00E03EA0"/>
    <w:rsid w:val="00E051D7"/>
    <w:rsid w:val="00E07986"/>
    <w:rsid w:val="00E11416"/>
    <w:rsid w:val="00E1285E"/>
    <w:rsid w:val="00E13033"/>
    <w:rsid w:val="00E1515E"/>
    <w:rsid w:val="00E151A6"/>
    <w:rsid w:val="00E1545D"/>
    <w:rsid w:val="00E15ACB"/>
    <w:rsid w:val="00E16F7C"/>
    <w:rsid w:val="00E20198"/>
    <w:rsid w:val="00E20200"/>
    <w:rsid w:val="00E20683"/>
    <w:rsid w:val="00E21A01"/>
    <w:rsid w:val="00E21AB1"/>
    <w:rsid w:val="00E22C46"/>
    <w:rsid w:val="00E24581"/>
    <w:rsid w:val="00E24741"/>
    <w:rsid w:val="00E249C5"/>
    <w:rsid w:val="00E26EF1"/>
    <w:rsid w:val="00E27787"/>
    <w:rsid w:val="00E27B14"/>
    <w:rsid w:val="00E30F2F"/>
    <w:rsid w:val="00E32360"/>
    <w:rsid w:val="00E32531"/>
    <w:rsid w:val="00E32DD1"/>
    <w:rsid w:val="00E33705"/>
    <w:rsid w:val="00E33EE8"/>
    <w:rsid w:val="00E344E2"/>
    <w:rsid w:val="00E36A8B"/>
    <w:rsid w:val="00E36F28"/>
    <w:rsid w:val="00E371C7"/>
    <w:rsid w:val="00E375E2"/>
    <w:rsid w:val="00E37725"/>
    <w:rsid w:val="00E379F9"/>
    <w:rsid w:val="00E37C11"/>
    <w:rsid w:val="00E40133"/>
    <w:rsid w:val="00E44870"/>
    <w:rsid w:val="00E449FE"/>
    <w:rsid w:val="00E4517F"/>
    <w:rsid w:val="00E46205"/>
    <w:rsid w:val="00E46354"/>
    <w:rsid w:val="00E466DB"/>
    <w:rsid w:val="00E46B1B"/>
    <w:rsid w:val="00E50964"/>
    <w:rsid w:val="00E52388"/>
    <w:rsid w:val="00E53664"/>
    <w:rsid w:val="00E54AFA"/>
    <w:rsid w:val="00E57975"/>
    <w:rsid w:val="00E60910"/>
    <w:rsid w:val="00E61167"/>
    <w:rsid w:val="00E61633"/>
    <w:rsid w:val="00E61741"/>
    <w:rsid w:val="00E61D4A"/>
    <w:rsid w:val="00E624F8"/>
    <w:rsid w:val="00E6257C"/>
    <w:rsid w:val="00E626BD"/>
    <w:rsid w:val="00E63AD6"/>
    <w:rsid w:val="00E63CB7"/>
    <w:rsid w:val="00E6444F"/>
    <w:rsid w:val="00E66288"/>
    <w:rsid w:val="00E6705E"/>
    <w:rsid w:val="00E67B2D"/>
    <w:rsid w:val="00E70690"/>
    <w:rsid w:val="00E70B6C"/>
    <w:rsid w:val="00E718F6"/>
    <w:rsid w:val="00E72395"/>
    <w:rsid w:val="00E74206"/>
    <w:rsid w:val="00E75181"/>
    <w:rsid w:val="00E75C03"/>
    <w:rsid w:val="00E77203"/>
    <w:rsid w:val="00E80A44"/>
    <w:rsid w:val="00E8406B"/>
    <w:rsid w:val="00E84B6C"/>
    <w:rsid w:val="00E84D7A"/>
    <w:rsid w:val="00E85DFA"/>
    <w:rsid w:val="00E860AC"/>
    <w:rsid w:val="00E86366"/>
    <w:rsid w:val="00E87F47"/>
    <w:rsid w:val="00E914BA"/>
    <w:rsid w:val="00E91543"/>
    <w:rsid w:val="00E916D7"/>
    <w:rsid w:val="00E920DD"/>
    <w:rsid w:val="00E92BDF"/>
    <w:rsid w:val="00E93015"/>
    <w:rsid w:val="00E94A6C"/>
    <w:rsid w:val="00E96EFD"/>
    <w:rsid w:val="00EA08A7"/>
    <w:rsid w:val="00EA3AAD"/>
    <w:rsid w:val="00EA44FF"/>
    <w:rsid w:val="00EA4651"/>
    <w:rsid w:val="00EA565F"/>
    <w:rsid w:val="00EA6452"/>
    <w:rsid w:val="00EA657C"/>
    <w:rsid w:val="00EA6E11"/>
    <w:rsid w:val="00EA7B60"/>
    <w:rsid w:val="00EA7F52"/>
    <w:rsid w:val="00EB2101"/>
    <w:rsid w:val="00EB240E"/>
    <w:rsid w:val="00EB347A"/>
    <w:rsid w:val="00EB34B3"/>
    <w:rsid w:val="00EB3786"/>
    <w:rsid w:val="00EB488F"/>
    <w:rsid w:val="00EB4C18"/>
    <w:rsid w:val="00EB4E60"/>
    <w:rsid w:val="00EB6461"/>
    <w:rsid w:val="00EB7629"/>
    <w:rsid w:val="00EB7EF5"/>
    <w:rsid w:val="00EC0E26"/>
    <w:rsid w:val="00EC17EB"/>
    <w:rsid w:val="00EC482C"/>
    <w:rsid w:val="00EC5D28"/>
    <w:rsid w:val="00EC5F14"/>
    <w:rsid w:val="00EC6023"/>
    <w:rsid w:val="00EC74E3"/>
    <w:rsid w:val="00EC7A7F"/>
    <w:rsid w:val="00ED0ED7"/>
    <w:rsid w:val="00ED216B"/>
    <w:rsid w:val="00ED34A8"/>
    <w:rsid w:val="00ED5C09"/>
    <w:rsid w:val="00ED673D"/>
    <w:rsid w:val="00EE12EC"/>
    <w:rsid w:val="00EE13BA"/>
    <w:rsid w:val="00EE233B"/>
    <w:rsid w:val="00EE4FC7"/>
    <w:rsid w:val="00EE5EB2"/>
    <w:rsid w:val="00EE6179"/>
    <w:rsid w:val="00EE671C"/>
    <w:rsid w:val="00EE6ED5"/>
    <w:rsid w:val="00EE7C4A"/>
    <w:rsid w:val="00EF0460"/>
    <w:rsid w:val="00EF04D3"/>
    <w:rsid w:val="00EF20B4"/>
    <w:rsid w:val="00EF2C4D"/>
    <w:rsid w:val="00EF484A"/>
    <w:rsid w:val="00EF63B6"/>
    <w:rsid w:val="00F00435"/>
    <w:rsid w:val="00F00C1E"/>
    <w:rsid w:val="00F01073"/>
    <w:rsid w:val="00F01638"/>
    <w:rsid w:val="00F039CF"/>
    <w:rsid w:val="00F03DBD"/>
    <w:rsid w:val="00F044C5"/>
    <w:rsid w:val="00F0546E"/>
    <w:rsid w:val="00F05F48"/>
    <w:rsid w:val="00F06973"/>
    <w:rsid w:val="00F10414"/>
    <w:rsid w:val="00F1085E"/>
    <w:rsid w:val="00F10960"/>
    <w:rsid w:val="00F142EC"/>
    <w:rsid w:val="00F1501B"/>
    <w:rsid w:val="00F15198"/>
    <w:rsid w:val="00F16F6C"/>
    <w:rsid w:val="00F20F17"/>
    <w:rsid w:val="00F212C8"/>
    <w:rsid w:val="00F22011"/>
    <w:rsid w:val="00F230C2"/>
    <w:rsid w:val="00F238FD"/>
    <w:rsid w:val="00F2485A"/>
    <w:rsid w:val="00F24F7C"/>
    <w:rsid w:val="00F269AA"/>
    <w:rsid w:val="00F30739"/>
    <w:rsid w:val="00F325FF"/>
    <w:rsid w:val="00F32C2E"/>
    <w:rsid w:val="00F32C47"/>
    <w:rsid w:val="00F347C3"/>
    <w:rsid w:val="00F3578F"/>
    <w:rsid w:val="00F36375"/>
    <w:rsid w:val="00F36940"/>
    <w:rsid w:val="00F3717D"/>
    <w:rsid w:val="00F40218"/>
    <w:rsid w:val="00F4150B"/>
    <w:rsid w:val="00F418AD"/>
    <w:rsid w:val="00F4190F"/>
    <w:rsid w:val="00F41CAC"/>
    <w:rsid w:val="00F432B3"/>
    <w:rsid w:val="00F433A7"/>
    <w:rsid w:val="00F43DA2"/>
    <w:rsid w:val="00F44FC1"/>
    <w:rsid w:val="00F45C41"/>
    <w:rsid w:val="00F50002"/>
    <w:rsid w:val="00F50241"/>
    <w:rsid w:val="00F50911"/>
    <w:rsid w:val="00F50E81"/>
    <w:rsid w:val="00F51709"/>
    <w:rsid w:val="00F523E7"/>
    <w:rsid w:val="00F5258A"/>
    <w:rsid w:val="00F53044"/>
    <w:rsid w:val="00F533B0"/>
    <w:rsid w:val="00F54089"/>
    <w:rsid w:val="00F55D7D"/>
    <w:rsid w:val="00F57E53"/>
    <w:rsid w:val="00F61EAB"/>
    <w:rsid w:val="00F63892"/>
    <w:rsid w:val="00F63C75"/>
    <w:rsid w:val="00F64839"/>
    <w:rsid w:val="00F6523F"/>
    <w:rsid w:val="00F65664"/>
    <w:rsid w:val="00F65AC8"/>
    <w:rsid w:val="00F66449"/>
    <w:rsid w:val="00F666BD"/>
    <w:rsid w:val="00F70513"/>
    <w:rsid w:val="00F70C8E"/>
    <w:rsid w:val="00F71C9C"/>
    <w:rsid w:val="00F72239"/>
    <w:rsid w:val="00F732DC"/>
    <w:rsid w:val="00F740B7"/>
    <w:rsid w:val="00F741BE"/>
    <w:rsid w:val="00F7509D"/>
    <w:rsid w:val="00F80895"/>
    <w:rsid w:val="00F80F5D"/>
    <w:rsid w:val="00F82519"/>
    <w:rsid w:val="00F837C7"/>
    <w:rsid w:val="00F841FA"/>
    <w:rsid w:val="00F8581F"/>
    <w:rsid w:val="00F867C4"/>
    <w:rsid w:val="00F86F3D"/>
    <w:rsid w:val="00F87FE5"/>
    <w:rsid w:val="00F90CF4"/>
    <w:rsid w:val="00F91D98"/>
    <w:rsid w:val="00F91E4C"/>
    <w:rsid w:val="00F94D07"/>
    <w:rsid w:val="00F96C21"/>
    <w:rsid w:val="00F9732A"/>
    <w:rsid w:val="00F97817"/>
    <w:rsid w:val="00F97A4B"/>
    <w:rsid w:val="00F97B69"/>
    <w:rsid w:val="00FA095B"/>
    <w:rsid w:val="00FA2BCC"/>
    <w:rsid w:val="00FA305C"/>
    <w:rsid w:val="00FA37F9"/>
    <w:rsid w:val="00FA38A2"/>
    <w:rsid w:val="00FA7369"/>
    <w:rsid w:val="00FA7489"/>
    <w:rsid w:val="00FB0BB0"/>
    <w:rsid w:val="00FB1195"/>
    <w:rsid w:val="00FB1283"/>
    <w:rsid w:val="00FB2A3D"/>
    <w:rsid w:val="00FB2E5C"/>
    <w:rsid w:val="00FB3433"/>
    <w:rsid w:val="00FB405E"/>
    <w:rsid w:val="00FB5C80"/>
    <w:rsid w:val="00FC003A"/>
    <w:rsid w:val="00FC1079"/>
    <w:rsid w:val="00FC1C75"/>
    <w:rsid w:val="00FC20D4"/>
    <w:rsid w:val="00FC2450"/>
    <w:rsid w:val="00FC2B18"/>
    <w:rsid w:val="00FC46FF"/>
    <w:rsid w:val="00FC48D3"/>
    <w:rsid w:val="00FC4B15"/>
    <w:rsid w:val="00FC5B66"/>
    <w:rsid w:val="00FC6075"/>
    <w:rsid w:val="00FC78A7"/>
    <w:rsid w:val="00FD0C50"/>
    <w:rsid w:val="00FD1D71"/>
    <w:rsid w:val="00FD313F"/>
    <w:rsid w:val="00FD5286"/>
    <w:rsid w:val="00FD5881"/>
    <w:rsid w:val="00FD5D87"/>
    <w:rsid w:val="00FD72AC"/>
    <w:rsid w:val="00FE0015"/>
    <w:rsid w:val="00FE043E"/>
    <w:rsid w:val="00FE065D"/>
    <w:rsid w:val="00FE0EFB"/>
    <w:rsid w:val="00FE310F"/>
    <w:rsid w:val="00FE34E5"/>
    <w:rsid w:val="00FE365D"/>
    <w:rsid w:val="00FE37E1"/>
    <w:rsid w:val="00FE42C4"/>
    <w:rsid w:val="00FF193E"/>
    <w:rsid w:val="00FF2FB9"/>
    <w:rsid w:val="00FF30F8"/>
    <w:rsid w:val="00FF3CFB"/>
    <w:rsid w:val="00FF491B"/>
    <w:rsid w:val="00FF561C"/>
    <w:rsid w:val="02CC4470"/>
    <w:rsid w:val="03B352E2"/>
    <w:rsid w:val="07B96196"/>
    <w:rsid w:val="0DED2895"/>
    <w:rsid w:val="0E661A45"/>
    <w:rsid w:val="127A5B76"/>
    <w:rsid w:val="15EE1BB2"/>
    <w:rsid w:val="17A15CD6"/>
    <w:rsid w:val="18A34DB6"/>
    <w:rsid w:val="2087660B"/>
    <w:rsid w:val="215D4821"/>
    <w:rsid w:val="21AA64D4"/>
    <w:rsid w:val="25055D31"/>
    <w:rsid w:val="27381A82"/>
    <w:rsid w:val="2D3C6472"/>
    <w:rsid w:val="36E265EE"/>
    <w:rsid w:val="383B57A9"/>
    <w:rsid w:val="3933034A"/>
    <w:rsid w:val="3D0036EE"/>
    <w:rsid w:val="3D68763F"/>
    <w:rsid w:val="3E4C5075"/>
    <w:rsid w:val="3F7947B4"/>
    <w:rsid w:val="464360E1"/>
    <w:rsid w:val="4C59597D"/>
    <w:rsid w:val="4F595406"/>
    <w:rsid w:val="4FDD33E0"/>
    <w:rsid w:val="51CE3660"/>
    <w:rsid w:val="5331602C"/>
    <w:rsid w:val="55D342BF"/>
    <w:rsid w:val="58FD3036"/>
    <w:rsid w:val="6799609E"/>
    <w:rsid w:val="6D6B2ED1"/>
    <w:rsid w:val="73AA07F3"/>
    <w:rsid w:val="74662E38"/>
    <w:rsid w:val="76401A13"/>
    <w:rsid w:val="7A721444"/>
    <w:rsid w:val="7B607E8F"/>
    <w:rsid w:val="7E82272C"/>
    <w:rsid w:val="7E944E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40" w:firstLineChars="200"/>
      <w:jc w:val="both"/>
    </w:pPr>
    <w:rPr>
      <w:rFonts w:ascii="Times New Roman" w:hAnsi="Times New Roman" w:eastAsia="宋体" w:cs="Times New Roman"/>
      <w:kern w:val="2"/>
      <w:sz w:val="22"/>
      <w:szCs w:val="24"/>
      <w:lang w:val="en-US" w:eastAsia="zh-CN" w:bidi="ar-SA"/>
    </w:rPr>
  </w:style>
  <w:style w:type="paragraph" w:styleId="2">
    <w:name w:val="heading 1"/>
    <w:basedOn w:val="3"/>
    <w:next w:val="1"/>
    <w:link w:val="29"/>
    <w:qFormat/>
    <w:uiPriority w:val="0"/>
    <w:pPr>
      <w:outlineLvl w:val="0"/>
    </w:p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widowControl/>
      <w:spacing w:before="100" w:beforeAutospacing="1" w:after="100" w:afterAutospacing="1"/>
      <w:jc w:val="left"/>
      <w:outlineLvl w:val="3"/>
    </w:pPr>
    <w:rPr>
      <w:rFonts w:ascii="宋体" w:hAnsi="宋体" w:cs="宋体"/>
      <w:b/>
      <w:bCs/>
      <w:kern w:val="0"/>
      <w:sz w:val="24"/>
    </w:rPr>
  </w:style>
  <w:style w:type="paragraph" w:styleId="7">
    <w:name w:val="heading 5"/>
    <w:basedOn w:val="1"/>
    <w:next w:val="1"/>
    <w:qFormat/>
    <w:uiPriority w:val="0"/>
    <w:pPr>
      <w:keepNext/>
      <w:keepLines/>
      <w:spacing w:before="280" w:after="290" w:line="376" w:lineRule="auto"/>
      <w:outlineLvl w:val="4"/>
    </w:pPr>
    <w:rPr>
      <w:b/>
      <w:bCs/>
      <w:sz w:val="28"/>
      <w:szCs w:val="28"/>
    </w:rPr>
  </w:style>
  <w:style w:type="character" w:default="1" w:styleId="19">
    <w:name w:val="Default Paragraph Font"/>
    <w:semiHidden/>
    <w:unhideWhenUsed/>
    <w:qFormat/>
    <w:uiPriority w:val="1"/>
  </w:style>
  <w:style w:type="table" w:default="1" w:styleId="25">
    <w:name w:val="Normal Table"/>
    <w:semiHidden/>
    <w:unhideWhenUsed/>
    <w:qFormat/>
    <w:uiPriority w:val="99"/>
    <w:tblPr>
      <w:tblLayout w:type="fixed"/>
      <w:tblCellMar>
        <w:top w:w="0" w:type="dxa"/>
        <w:left w:w="108" w:type="dxa"/>
        <w:bottom w:w="0" w:type="dxa"/>
        <w:right w:w="108" w:type="dxa"/>
      </w:tblCellMar>
    </w:tblPr>
  </w:style>
  <w:style w:type="paragraph" w:customStyle="1" w:styleId="3">
    <w:name w:val="学习材料标题样式二"/>
    <w:basedOn w:val="4"/>
    <w:link w:val="30"/>
    <w:qFormat/>
    <w:uiPriority w:val="0"/>
    <w:pPr>
      <w:spacing w:before="0" w:after="156" w:line="240" w:lineRule="auto"/>
      <w:ind w:firstLine="0" w:firstLineChars="0"/>
      <w:jc w:val="center"/>
    </w:pPr>
    <w:rPr>
      <w:rFonts w:ascii="方正小标宋简体" w:hAnsi="Times New Roman" w:eastAsia="方正小标宋简体" w:cs="Tahoma"/>
      <w:spacing w:val="-4"/>
      <w:kern w:val="0"/>
    </w:rPr>
  </w:style>
  <w:style w:type="paragraph" w:styleId="8">
    <w:name w:val="toc 3"/>
    <w:basedOn w:val="1"/>
    <w:next w:val="1"/>
    <w:qFormat/>
    <w:uiPriority w:val="39"/>
    <w:pPr>
      <w:tabs>
        <w:tab w:val="right" w:leader="dot" w:pos="8318"/>
      </w:tabs>
      <w:ind w:left="178" w:leftChars="85"/>
    </w:pPr>
  </w:style>
  <w:style w:type="paragraph" w:styleId="9">
    <w:name w:val="Date"/>
    <w:basedOn w:val="1"/>
    <w:next w:val="1"/>
    <w:qFormat/>
    <w:uiPriority w:val="0"/>
    <w:pPr>
      <w:ind w:left="100" w:leftChars="2500"/>
    </w:pPr>
  </w:style>
  <w:style w:type="paragraph" w:styleId="10">
    <w:name w:val="Balloon Text"/>
    <w:basedOn w:val="1"/>
    <w:semiHidden/>
    <w:qFormat/>
    <w:uiPriority w:val="0"/>
    <w:rPr>
      <w:sz w:val="18"/>
      <w:szCs w:val="18"/>
    </w:rPr>
  </w:style>
  <w:style w:type="paragraph" w:styleId="11">
    <w:name w:val="footer"/>
    <w:basedOn w:val="1"/>
    <w:link w:val="51"/>
    <w:qFormat/>
    <w:uiPriority w:val="99"/>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dot" w:pos="8318"/>
      </w:tabs>
    </w:pPr>
    <w:rPr>
      <w:rFonts w:ascii="楷体_GB2312" w:eastAsia="楷体_GB2312"/>
      <w:b/>
      <w:spacing w:val="-20"/>
      <w:sz w:val="30"/>
      <w:szCs w:val="30"/>
    </w:rPr>
  </w:style>
  <w:style w:type="paragraph" w:styleId="14">
    <w:name w:val="Subtitle"/>
    <w:basedOn w:val="1"/>
    <w:next w:val="1"/>
    <w:link w:val="50"/>
    <w:qFormat/>
    <w:uiPriority w:val="0"/>
    <w:pPr>
      <w:spacing w:beforeLines="50" w:afterLines="50"/>
      <w:ind w:firstLine="0" w:firstLineChars="0"/>
      <w:jc w:val="center"/>
    </w:pPr>
    <w:rPr>
      <w:rFonts w:ascii="楷体" w:hAnsi="楷体" w:eastAsia="楷体"/>
      <w:b/>
      <w:sz w:val="28"/>
    </w:rPr>
  </w:style>
  <w:style w:type="paragraph" w:styleId="15">
    <w:name w:val="toc 2"/>
    <w:basedOn w:val="1"/>
    <w:next w:val="1"/>
    <w:qFormat/>
    <w:uiPriority w:val="39"/>
    <w:pPr>
      <w:tabs>
        <w:tab w:val="right" w:leader="dot" w:pos="8296"/>
      </w:tabs>
      <w:ind w:left="420"/>
      <w:jc w:val="center"/>
    </w:pPr>
    <w:rPr>
      <w:b/>
      <w:sz w:val="24"/>
      <w:szCs w:val="32"/>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8"/>
    <w:next w:val="1"/>
    <w:link w:val="47"/>
    <w:qFormat/>
    <w:uiPriority w:val="0"/>
    <w:pPr>
      <w:jc w:val="both"/>
    </w:pPr>
  </w:style>
  <w:style w:type="paragraph" w:customStyle="1" w:styleId="18">
    <w:name w:val="学习材料标题样式一"/>
    <w:basedOn w:val="2"/>
    <w:link w:val="31"/>
    <w:qFormat/>
    <w:uiPriority w:val="0"/>
    <w:pPr>
      <w:spacing w:afterLines="50"/>
    </w:pPr>
    <w:rPr>
      <w:rFonts w:ascii="黑体" w:hAnsi="黑体" w:eastAsia="黑体"/>
      <w:szCs w:val="36"/>
    </w:rPr>
  </w:style>
  <w:style w:type="character" w:styleId="20">
    <w:name w:val="Strong"/>
    <w:basedOn w:val="19"/>
    <w:qFormat/>
    <w:uiPriority w:val="22"/>
    <w:rPr>
      <w:b/>
      <w:bCs/>
    </w:rPr>
  </w:style>
  <w:style w:type="character" w:styleId="21">
    <w:name w:val="page number"/>
    <w:basedOn w:val="19"/>
    <w:qFormat/>
    <w:uiPriority w:val="0"/>
  </w:style>
  <w:style w:type="character" w:styleId="22">
    <w:name w:val="FollowedHyperlink"/>
    <w:basedOn w:val="19"/>
    <w:qFormat/>
    <w:uiPriority w:val="0"/>
    <w:rPr>
      <w:vanish/>
      <w:color w:val="005C81"/>
      <w:u w:val="none"/>
    </w:rPr>
  </w:style>
  <w:style w:type="character" w:styleId="23">
    <w:name w:val="Emphasis"/>
    <w:basedOn w:val="19"/>
    <w:qFormat/>
    <w:uiPriority w:val="0"/>
  </w:style>
  <w:style w:type="character" w:styleId="24">
    <w:name w:val="Hyperlink"/>
    <w:basedOn w:val="19"/>
    <w:qFormat/>
    <w:uiPriority w:val="99"/>
    <w:rPr>
      <w:color w:val="auto"/>
      <w:u w:val="none"/>
    </w:rPr>
  </w:style>
  <w:style w:type="paragraph" w:customStyle="1" w:styleId="26">
    <w:name w:val="学习材料标题样式三"/>
    <w:basedOn w:val="5"/>
    <w:link w:val="32"/>
    <w:qFormat/>
    <w:uiPriority w:val="0"/>
    <w:pPr>
      <w:spacing w:before="120" w:after="120" w:line="240" w:lineRule="auto"/>
      <w:jc w:val="center"/>
    </w:pPr>
    <w:rPr>
      <w:rFonts w:ascii="方正小标宋简体" w:eastAsia="方正小标宋简体"/>
      <w:b w:val="0"/>
      <w:sz w:val="30"/>
      <w:szCs w:val="30"/>
    </w:rPr>
  </w:style>
  <w:style w:type="paragraph" w:customStyle="1" w:styleId="27">
    <w:name w:val="样式 经典楷体简 28 磅 加粗 居中 段后: 7.8 磅"/>
    <w:basedOn w:val="1"/>
    <w:qFormat/>
    <w:uiPriority w:val="0"/>
    <w:pPr>
      <w:spacing w:after="156"/>
      <w:jc w:val="center"/>
    </w:pPr>
    <w:rPr>
      <w:rFonts w:ascii="经典楷体简" w:hAnsi="宋体" w:eastAsia="楷体_GB2312" w:cs="宋体"/>
      <w:b/>
      <w:bCs/>
      <w:sz w:val="56"/>
      <w:szCs w:val="20"/>
    </w:rPr>
  </w:style>
  <w:style w:type="paragraph" w:customStyle="1" w:styleId="28">
    <w:name w:val="样式 宋体 三号 加粗 段后: 7.8 磅"/>
    <w:basedOn w:val="1"/>
    <w:qFormat/>
    <w:uiPriority w:val="0"/>
    <w:pPr>
      <w:spacing w:after="156"/>
    </w:pPr>
    <w:rPr>
      <w:rFonts w:ascii="宋体" w:hAnsi="宋体" w:eastAsia="仿宋_GB2312" w:cs="宋体"/>
      <w:b/>
      <w:bCs/>
      <w:sz w:val="32"/>
      <w:szCs w:val="20"/>
    </w:rPr>
  </w:style>
  <w:style w:type="character" w:customStyle="1" w:styleId="29">
    <w:name w:val="标题 1 Char"/>
    <w:basedOn w:val="19"/>
    <w:link w:val="2"/>
    <w:qFormat/>
    <w:uiPriority w:val="0"/>
    <w:rPr>
      <w:rFonts w:ascii="方正小标宋简体" w:eastAsia="方正小标宋简体" w:cs="Tahoma"/>
      <w:b/>
      <w:bCs/>
      <w:spacing w:val="-4"/>
      <w:sz w:val="32"/>
      <w:szCs w:val="32"/>
    </w:rPr>
  </w:style>
  <w:style w:type="character" w:customStyle="1" w:styleId="30">
    <w:name w:val="学习材料标题样式二 Char"/>
    <w:basedOn w:val="19"/>
    <w:link w:val="3"/>
    <w:qFormat/>
    <w:uiPriority w:val="0"/>
    <w:rPr>
      <w:rFonts w:ascii="方正小标宋简体" w:eastAsia="方正小标宋简体" w:cs="Tahoma"/>
      <w:b/>
      <w:bCs/>
      <w:spacing w:val="-4"/>
      <w:sz w:val="32"/>
      <w:szCs w:val="32"/>
    </w:rPr>
  </w:style>
  <w:style w:type="character" w:customStyle="1" w:styleId="31">
    <w:name w:val="学习材料标题样式一 Char"/>
    <w:basedOn w:val="29"/>
    <w:link w:val="18"/>
    <w:qFormat/>
    <w:uiPriority w:val="0"/>
    <w:rPr>
      <w:rFonts w:ascii="黑体" w:hAnsi="黑体" w:eastAsia="黑体"/>
      <w:sz w:val="32"/>
      <w:szCs w:val="36"/>
    </w:rPr>
  </w:style>
  <w:style w:type="character" w:customStyle="1" w:styleId="32">
    <w:name w:val="学习材料标题样式三 Char"/>
    <w:basedOn w:val="19"/>
    <w:link w:val="26"/>
    <w:qFormat/>
    <w:uiPriority w:val="0"/>
    <w:rPr>
      <w:rFonts w:ascii="方正小标宋简体" w:eastAsia="方正小标宋简体"/>
      <w:bCs/>
      <w:kern w:val="2"/>
      <w:sz w:val="30"/>
      <w:szCs w:val="30"/>
      <w:lang w:eastAsia="zh-CN" w:bidi="ar-SA"/>
    </w:rPr>
  </w:style>
  <w:style w:type="paragraph" w:customStyle="1" w:styleId="33">
    <w:name w:val="tc"/>
    <w:basedOn w:val="1"/>
    <w:qFormat/>
    <w:uiPriority w:val="0"/>
    <w:pPr>
      <w:widowControl/>
      <w:spacing w:before="100" w:beforeAutospacing="1" w:after="100" w:afterAutospacing="1"/>
      <w:jc w:val="center"/>
    </w:pPr>
    <w:rPr>
      <w:rFonts w:ascii="宋体" w:hAnsi="宋体" w:cs="宋体"/>
      <w:kern w:val="0"/>
      <w:sz w:val="24"/>
    </w:rPr>
  </w:style>
  <w:style w:type="paragraph" w:customStyle="1" w:styleId="34">
    <w:name w:val="style3"/>
    <w:basedOn w:val="1"/>
    <w:qFormat/>
    <w:uiPriority w:val="0"/>
    <w:pPr>
      <w:widowControl/>
      <w:spacing w:before="100" w:beforeAutospacing="1" w:after="100" w:afterAutospacing="1"/>
      <w:jc w:val="left"/>
    </w:pPr>
    <w:rPr>
      <w:rFonts w:ascii="新宋体" w:hAnsi="新宋体" w:eastAsia="新宋体" w:cs="宋体"/>
      <w:color w:val="000000"/>
      <w:kern w:val="0"/>
      <w:sz w:val="19"/>
      <w:szCs w:val="19"/>
    </w:rPr>
  </w:style>
  <w:style w:type="character" w:customStyle="1" w:styleId="35">
    <w:name w:val="lemmatitleh11"/>
    <w:basedOn w:val="19"/>
    <w:qFormat/>
    <w:uiPriority w:val="0"/>
  </w:style>
  <w:style w:type="paragraph" w:customStyle="1" w:styleId="36">
    <w:name w:val="custom_unionstyle"/>
    <w:basedOn w:val="1"/>
    <w:qFormat/>
    <w:uiPriority w:val="0"/>
    <w:pPr>
      <w:widowControl/>
      <w:spacing w:before="100" w:beforeAutospacing="1" w:after="100" w:afterAutospacing="1"/>
      <w:jc w:val="left"/>
    </w:pPr>
    <w:rPr>
      <w:rFonts w:ascii="宋体" w:hAnsi="宋体" w:cs="宋体"/>
      <w:kern w:val="0"/>
      <w:sz w:val="24"/>
    </w:rPr>
  </w:style>
  <w:style w:type="character" w:customStyle="1" w:styleId="37">
    <w:name w:val="apple-converted-space"/>
    <w:basedOn w:val="19"/>
    <w:qFormat/>
    <w:uiPriority w:val="0"/>
  </w:style>
  <w:style w:type="paragraph" w:customStyle="1" w:styleId="38">
    <w:name w:val="Char"/>
    <w:basedOn w:val="1"/>
    <w:qFormat/>
    <w:uiPriority w:val="0"/>
    <w:pPr>
      <w:spacing w:after="160" w:line="360" w:lineRule="auto"/>
    </w:pPr>
    <w:rPr>
      <w:szCs w:val="20"/>
    </w:rPr>
  </w:style>
  <w:style w:type="character" w:customStyle="1" w:styleId="39">
    <w:name w:val="date"/>
    <w:basedOn w:val="19"/>
    <w:qFormat/>
    <w:uiPriority w:val="0"/>
  </w:style>
  <w:style w:type="paragraph" w:customStyle="1" w:styleId="40">
    <w:name w:val="b-free-read-leaf"/>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sub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2">
    <w:name w:val="author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3">
    <w:name w:val="intro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4">
    <w:name w:val="sec"/>
    <w:basedOn w:val="1"/>
    <w:qFormat/>
    <w:uiPriority w:val="0"/>
    <w:pPr>
      <w:widowControl/>
      <w:spacing w:before="100" w:beforeAutospacing="1" w:after="100" w:afterAutospacing="1"/>
      <w:jc w:val="left"/>
    </w:pPr>
    <w:rPr>
      <w:rFonts w:ascii="宋体" w:hAnsi="宋体" w:cs="宋体"/>
      <w:kern w:val="0"/>
      <w:sz w:val="24"/>
    </w:rPr>
  </w:style>
  <w:style w:type="paragraph" w:customStyle="1" w:styleId="45">
    <w:name w:val="copy-cont"/>
    <w:basedOn w:val="1"/>
    <w:qFormat/>
    <w:uiPriority w:val="0"/>
    <w:pPr>
      <w:widowControl/>
      <w:spacing w:before="100" w:beforeAutospacing="1" w:after="100" w:afterAutospacing="1"/>
      <w:jc w:val="left"/>
    </w:pPr>
    <w:rPr>
      <w:rFonts w:ascii="宋体" w:hAnsi="宋体" w:cs="宋体"/>
      <w:kern w:val="0"/>
      <w:sz w:val="24"/>
    </w:rPr>
  </w:style>
  <w:style w:type="character" w:customStyle="1" w:styleId="46">
    <w:name w:val="不明显参考1"/>
    <w:basedOn w:val="19"/>
    <w:qFormat/>
    <w:uiPriority w:val="31"/>
    <w:rPr>
      <w:smallCaps/>
      <w:color w:val="C0504D"/>
      <w:u w:val="single"/>
    </w:rPr>
  </w:style>
  <w:style w:type="character" w:customStyle="1" w:styleId="47">
    <w:name w:val="标题 Char"/>
    <w:basedOn w:val="19"/>
    <w:link w:val="17"/>
    <w:qFormat/>
    <w:uiPriority w:val="0"/>
    <w:rPr>
      <w:rFonts w:ascii="黑体" w:hAnsi="黑体" w:eastAsia="黑体" w:cs="Tahoma"/>
      <w:b/>
      <w:bCs/>
      <w:spacing w:val="-4"/>
      <w:sz w:val="32"/>
      <w:szCs w:val="36"/>
    </w:rPr>
  </w:style>
  <w:style w:type="paragraph" w:customStyle="1" w:styleId="48">
    <w:name w:val="中标题"/>
    <w:basedOn w:val="3"/>
    <w:link w:val="49"/>
    <w:qFormat/>
    <w:uiPriority w:val="0"/>
  </w:style>
  <w:style w:type="character" w:customStyle="1" w:styleId="49">
    <w:name w:val="中标题 Char"/>
    <w:basedOn w:val="29"/>
    <w:link w:val="48"/>
    <w:qFormat/>
    <w:uiPriority w:val="0"/>
  </w:style>
  <w:style w:type="character" w:customStyle="1" w:styleId="50">
    <w:name w:val="副标题 Char"/>
    <w:basedOn w:val="19"/>
    <w:link w:val="14"/>
    <w:qFormat/>
    <w:uiPriority w:val="0"/>
    <w:rPr>
      <w:rFonts w:ascii="楷体" w:hAnsi="楷体" w:eastAsia="楷体"/>
      <w:b/>
      <w:kern w:val="2"/>
      <w:sz w:val="28"/>
      <w:szCs w:val="24"/>
    </w:rPr>
  </w:style>
  <w:style w:type="character" w:customStyle="1" w:styleId="51">
    <w:name w:val="页脚 Char"/>
    <w:basedOn w:val="19"/>
    <w:link w:val="11"/>
    <w:qFormat/>
    <w:uiPriority w:val="99"/>
    <w:rPr>
      <w:kern w:val="2"/>
      <w:sz w:val="18"/>
      <w:szCs w:val="18"/>
    </w:rPr>
  </w:style>
  <w:style w:type="paragraph" w:customStyle="1" w:styleId="52">
    <w:name w:val="副标题楷体"/>
    <w:basedOn w:val="14"/>
    <w:link w:val="53"/>
    <w:qFormat/>
    <w:uiPriority w:val="0"/>
    <w:pPr>
      <w:spacing w:before="156" w:after="156"/>
    </w:pPr>
    <w:rPr>
      <w:b w:val="0"/>
      <w:sz w:val="24"/>
    </w:rPr>
  </w:style>
  <w:style w:type="character" w:customStyle="1" w:styleId="53">
    <w:name w:val="副标题楷体 Char"/>
    <w:basedOn w:val="50"/>
    <w:link w:val="52"/>
    <w:qFormat/>
    <w:uiPriority w:val="0"/>
    <w:rPr>
      <w:sz w:val="24"/>
    </w:rPr>
  </w:style>
  <w:style w:type="paragraph" w:customStyle="1" w:styleId="54">
    <w:name w:val="sub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55">
    <w:name w:val="明显强调1"/>
    <w:basedOn w:val="19"/>
    <w:qFormat/>
    <w:uiPriority w:val="21"/>
    <w:rPr>
      <w:b/>
      <w:bCs/>
      <w:i/>
      <w:iCs/>
      <w:color w:val="4F81BD" w:themeColor="accent1"/>
      <w14:textFill>
        <w14:solidFill>
          <w14:schemeClr w14:val="accent1"/>
        </w14:solidFill>
      </w14:textFill>
    </w:rPr>
  </w:style>
  <w:style w:type="character" w:customStyle="1" w:styleId="56">
    <w:name w:val="bjh-p"/>
    <w:basedOn w:val="19"/>
    <w:qFormat/>
    <w:uiPriority w:val="0"/>
  </w:style>
  <w:style w:type="character" w:customStyle="1" w:styleId="57">
    <w:name w:val="ariaskiptheme"/>
    <w:basedOn w:val="19"/>
    <w:qFormat/>
    <w:uiPriority w:val="0"/>
  </w:style>
  <w:style w:type="character" w:customStyle="1" w:styleId="58">
    <w:name w:val="不明显参考2"/>
    <w:basedOn w:val="19"/>
    <w:qFormat/>
    <w:uiPriority w:val="31"/>
    <w:rPr>
      <w:smallCaps/>
      <w:color w:val="C0504D" w:themeColor="accent2"/>
      <w:u w:val="single"/>
      <w14:textFill>
        <w14:solidFill>
          <w14:schemeClr w14:val="accent2"/>
        </w14:solidFill>
      </w14:textFill>
    </w:rPr>
  </w:style>
  <w:style w:type="paragraph" w:customStyle="1" w:styleId="5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spacing w:val="0"/>
      <w:sz w:val="28"/>
      <w:szCs w:val="28"/>
    </w:rPr>
  </w:style>
  <w:style w:type="paragraph" w:customStyle="1" w:styleId="60">
    <w:name w:val="intro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paragraph" w:customStyle="1" w:styleId="61">
    <w:name w:val="author"/>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62">
    <w:name w:val="newstime"/>
    <w:basedOn w:val="19"/>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BC7D4A-5C30-4EBC-9323-1D6E5C9A04C3}">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34</Pages>
  <Words>6405</Words>
  <Characters>36509</Characters>
  <Lines>304</Lines>
  <Paragraphs>85</Paragraphs>
  <TotalTime>2</TotalTime>
  <ScaleCrop>false</ScaleCrop>
  <LinksUpToDate>false</LinksUpToDate>
  <CharactersWithSpaces>42829</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2025-08-01T01:05:00Z</dcterms:created>
  <dc:creator>lenovo</dc:creator>
  <cp:lastModifiedBy>Administrator</cp:lastModifiedBy>
  <cp:lastPrinted>2025-11-04T03:25:00Z</cp:lastPrinted>
  <dcterms:modified xsi:type="dcterms:W3CDTF">2026-08-19T07:41:40Z</dcterms:modified>
  <dc:title>泉州市机关党员教育</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FFBCECFD163D43B5BF30DBA27D8013A0_12</vt:lpwstr>
  </property>
</Properties>
</file>