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after="0"/>
        <w:ind w:firstLine="0" w:firstLineChars="0"/>
        <w:rPr>
          <w:rFonts w:ascii="宋体" w:eastAsia="宋体"/>
          <w:color w:val="FF0000"/>
        </w:rPr>
      </w:pPr>
      <w:bookmarkStart w:id="0" w:name="_Toc190748406"/>
      <w:bookmarkStart w:id="1" w:name="_Toc190831869"/>
      <w:bookmarkStart w:id="2" w:name="_Toc192911396"/>
      <w:bookmarkStart w:id="3" w:name="_Toc190749700"/>
      <w:bookmarkStart w:id="4" w:name="_Toc192911292"/>
      <w:bookmarkStart w:id="5" w:name="_Toc190748407"/>
      <w:bookmarkStart w:id="6" w:name="_Toc190826338"/>
      <w:bookmarkStart w:id="7" w:name="_Toc230409460"/>
      <w:bookmarkStart w:id="8" w:name="_Toc190832169"/>
      <w:bookmarkStart w:id="9" w:name="_Toc190832283"/>
      <w:bookmarkStart w:id="10" w:name="_Toc190748609"/>
      <w:bookmarkStart w:id="11" w:name="_Toc194985091"/>
      <w:bookmarkStart w:id="12" w:name="_Toc192928321"/>
      <w:bookmarkStart w:id="13" w:name="_Toc230430866"/>
      <w:r>
        <w:rPr>
          <w:rFonts w:hint="eastAsia" w:ascii="宋体" w:eastAsia="宋体"/>
          <w:color w:val="FF0000"/>
        </w:rPr>
        <w:t>泉州市机关党员教育</w:t>
      </w:r>
    </w:p>
    <w:p>
      <w:pPr>
        <w:ind w:firstLine="0" w:firstLineChars="0"/>
        <w:jc w:val="center"/>
        <w:rPr>
          <w:rStyle w:val="29"/>
        </w:rPr>
      </w:pPr>
      <w:r>
        <w:rPr>
          <w:rFonts w:hint="eastAsia" w:ascii="华文新魏" w:eastAsia="华文新魏"/>
          <w:b/>
          <w:color w:val="FF0000"/>
          <w:w w:val="90"/>
          <w:sz w:val="144"/>
          <w:szCs w:val="144"/>
        </w:rPr>
        <w:t>学 习 材 料</w:t>
      </w:r>
    </w:p>
    <w:p>
      <w:pPr>
        <w:spacing w:afterLines="50"/>
        <w:ind w:right="108" w:firstLine="640"/>
        <w:jc w:val="center"/>
        <w:rPr>
          <w:rFonts w:ascii="楷体_GB2312" w:eastAsia="楷体_GB2312"/>
          <w:sz w:val="32"/>
          <w:szCs w:val="32"/>
        </w:rPr>
      </w:pPr>
      <w:r>
        <w:rPr>
          <w:rFonts w:hint="eastAsia" w:ascii="楷体_GB2312" w:eastAsia="楷体_GB2312"/>
          <w:sz w:val="32"/>
          <w:szCs w:val="32"/>
        </w:rPr>
        <w:t>202</w:t>
      </w:r>
      <w:r>
        <w:rPr>
          <w:rFonts w:hint="eastAsia" w:ascii="楷体_GB2312" w:eastAsia="楷体_GB2312"/>
          <w:sz w:val="32"/>
          <w:szCs w:val="32"/>
          <w:lang w:val="en-US" w:eastAsia="zh-CN"/>
        </w:rPr>
        <w:t>6</w:t>
      </w:r>
      <w:r>
        <w:rPr>
          <w:rFonts w:hint="eastAsia" w:ascii="楷体_GB2312" w:eastAsia="楷体_GB2312"/>
          <w:sz w:val="32"/>
          <w:szCs w:val="32"/>
        </w:rPr>
        <w:t>年第</w:t>
      </w:r>
      <w:r>
        <w:rPr>
          <w:rFonts w:hint="eastAsia" w:ascii="楷体_GB2312" w:eastAsia="楷体_GB2312"/>
          <w:sz w:val="32"/>
          <w:szCs w:val="32"/>
          <w:lang w:val="en-US" w:eastAsia="zh-CN"/>
        </w:rPr>
        <w:t>5</w:t>
      </w:r>
      <w:r>
        <w:rPr>
          <w:rFonts w:hint="eastAsia" w:ascii="楷体_GB2312" w:eastAsia="楷体_GB2312"/>
          <w:sz w:val="32"/>
          <w:szCs w:val="32"/>
        </w:rPr>
        <w:t>期（总2</w:t>
      </w:r>
      <w:r>
        <w:rPr>
          <w:rFonts w:hint="eastAsia" w:ascii="楷体_GB2312" w:eastAsia="楷体_GB2312"/>
          <w:sz w:val="32"/>
          <w:szCs w:val="32"/>
          <w:lang w:val="en-US" w:eastAsia="zh-CN"/>
        </w:rPr>
        <w:t>21</w:t>
      </w:r>
      <w:r>
        <w:rPr>
          <w:rFonts w:hint="eastAsia" w:ascii="楷体_GB2312" w:eastAsia="楷体_GB2312"/>
          <w:sz w:val="32"/>
          <w:szCs w:val="32"/>
        </w:rPr>
        <w:t>期）</w:t>
      </w:r>
    </w:p>
    <w:p>
      <w:pPr>
        <w:pStyle w:val="28"/>
        <w:spacing w:after="100" w:afterAutospacing="1"/>
        <w:ind w:firstLine="0" w:firstLineChars="0"/>
        <w:rPr>
          <w:b w:val="0"/>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383540</wp:posOffset>
                </wp:positionV>
                <wp:extent cx="5479415" cy="135255"/>
                <wp:effectExtent l="4445" t="4445" r="21590" b="12700"/>
                <wp:wrapNone/>
                <wp:docPr id="1" name="矩形 16"/>
                <wp:cNvGraphicFramePr/>
                <a:graphic xmlns:a="http://schemas.openxmlformats.org/drawingml/2006/main">
                  <a:graphicData uri="http://schemas.microsoft.com/office/word/2010/wordprocessingShape">
                    <wps:wsp>
                      <wps:cNvSpPr/>
                      <wps:spPr>
                        <a:xfrm>
                          <a:off x="0" y="0"/>
                          <a:ext cx="5479415" cy="135255"/>
                        </a:xfrm>
                        <a:prstGeom prst="rect">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rect id="矩形 16" o:spid="_x0000_s1026" o:spt="1" style="position:absolute;left:0pt;margin-left:-9pt;margin-top:30.2pt;height:10.65pt;width:431.45pt;z-index:251659264;mso-width-relative:page;mso-height-relative:page;" fillcolor="#FF0000" filled="t" stroked="t" coordsize="21600,21600" o:gfxdata="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OFx0tsA&#10;AAAJAQAADwAAAAAAAAABACAAAAAiAAAAZHJzL2Rvd25yZXYueG1sUEsBAhQAFAAAAAgAh07iQP+E&#10;C6jjAQAA3wMAAA4AAAAAAAAAAQAgAAAAKgEAAGRycy9lMm9Eb2MueG1sUEsFBgAAAAAGAAYAWQEA&#10;AH8FAAAAAA==&#10;">
                <v:fill on="t" focussize="0,0"/>
                <v:stroke color="#FF0000"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416560</wp:posOffset>
                </wp:positionV>
                <wp:extent cx="5486400" cy="102235"/>
                <wp:effectExtent l="4445" t="4445" r="14605" b="7620"/>
                <wp:wrapNone/>
                <wp:docPr id="2" name="矩形 17"/>
                <wp:cNvGraphicFramePr/>
                <a:graphic xmlns:a="http://schemas.openxmlformats.org/drawingml/2006/main">
                  <a:graphicData uri="http://schemas.microsoft.com/office/word/2010/wordprocessingShape">
                    <wps:wsp>
                      <wps:cNvSpPr/>
                      <wps:spPr>
                        <a:xfrm>
                          <a:off x="0" y="0"/>
                          <a:ext cx="5486400" cy="10223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矩形 17" o:spid="_x0000_s1026" o:spt="1" style="position:absolute;left:0pt;margin-left:-9pt;margin-top:32.8pt;height:8.05pt;width:432pt;z-index:251660288;mso-width-relative:page;mso-height-relative:page;" fillcolor="#FFFFFF" filled="t" stroked="t" coordsize="21600,21600" o:gfxdata="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yaAxbXAAAACQEA&#10;AA8AAAAAAAAAAQAgAAAAIgAAAGRycy9kb3ducmV2LnhtbFBLAQIUABQAAAAIAIdO4kBp7MSK4gEA&#10;AN8DAAAOAAAAAAAAAAEAIAAAACYBAABkcnMvZTJvRG9jLnhtbFBLBQYAAAAABgAGAFkBAAB6BQAA&#10;AAA=&#10;">
                <v:fill on="t" focussize="0,0"/>
                <v:stroke color="#FFFFFF" joinstyle="miter"/>
                <v:imagedata o:title=""/>
                <o:lock v:ext="edit" aspectratio="f"/>
              </v:rect>
            </w:pict>
          </mc:Fallback>
        </mc:AlternateContent>
      </w:r>
      <w:r>
        <w:rPr>
          <w:rFonts w:hint="eastAsia"/>
        </w:rPr>
        <w:t>中共泉州市委市直机关工作委员会           202</w:t>
      </w:r>
      <w:r>
        <w:rPr>
          <w:rFonts w:hint="eastAsia"/>
          <w:lang w:val="en-US" w:eastAsia="zh-CN"/>
        </w:rPr>
        <w:t>6</w:t>
      </w:r>
      <w:r>
        <w:rPr>
          <w:rFonts w:hint="eastAsia"/>
        </w:rPr>
        <w:t>年</w:t>
      </w:r>
      <w:r>
        <w:rPr>
          <w:rFonts w:hint="eastAsia"/>
          <w:lang w:val="en-US" w:eastAsia="zh-CN"/>
        </w:rPr>
        <w:t>5</w:t>
      </w:r>
      <w:r>
        <w:rPr>
          <w:rFonts w:hint="eastAsia"/>
        </w:rPr>
        <w:t>月</w:t>
      </w:r>
    </w:p>
    <w:p>
      <w:pPr>
        <w:pStyle w:val="13"/>
        <w:ind w:firstLine="0" w:firstLineChars="0"/>
        <w:jc w:val="center"/>
      </w:pPr>
      <w:r>
        <w:rPr>
          <w:rFonts w:hint="eastAsia"/>
        </w:rPr>
        <w:t>目  录</w:t>
      </w:r>
      <w:bookmarkEnd w:id="0"/>
    </w:p>
    <w:p>
      <w:pPr>
        <w:pStyle w:val="15"/>
        <w:ind w:left="565" w:leftChars="257" w:firstLine="0" w:firstLineChars="0"/>
        <w:jc w:val="left"/>
        <w:rPr>
          <w:rStyle w:val="24"/>
          <w:rFonts w:hint="eastAsia"/>
          <w:lang w:val="en-US" w:eastAsia="zh-CN"/>
        </w:rPr>
      </w:pPr>
      <w:r>
        <w:rPr>
          <w:rStyle w:val="24"/>
          <w:rFonts w:hint="eastAsia"/>
          <w:lang w:val="en-US" w:eastAsia="zh-CN"/>
        </w:rPr>
        <w:t>习近平：在省部级主要领导干部学习贯彻党的二十届四中全会精神专题研讨班上的讲话</w:t>
      </w:r>
    </w:p>
    <w:p>
      <w:pPr>
        <w:pStyle w:val="15"/>
        <w:ind w:left="565" w:leftChars="257" w:firstLine="0" w:firstLineChars="0"/>
        <w:jc w:val="left"/>
        <w:rPr>
          <w:rFonts w:hint="eastAsia"/>
          <w:sz w:val="32"/>
          <w:szCs w:val="40"/>
          <w:lang w:val="en-US" w:eastAsia="zh-CN"/>
        </w:rPr>
      </w:pPr>
      <w:r>
        <w:rPr>
          <w:rStyle w:val="24"/>
          <w:rFonts w:hint="eastAsia"/>
          <w:sz w:val="24"/>
          <w:szCs w:val="28"/>
          <w:lang w:val="en-US" w:eastAsia="zh-CN"/>
        </w:rPr>
        <w:t>做强做优做大实体经济</w:t>
      </w:r>
    </w:p>
    <w:p>
      <w:pPr>
        <w:pStyle w:val="15"/>
        <w:ind w:left="565" w:leftChars="257" w:firstLine="0" w:firstLineChars="0"/>
        <w:jc w:val="left"/>
        <w:rPr>
          <w:rStyle w:val="24"/>
          <w:rFonts w:hint="eastAsia"/>
          <w:lang w:val="en-US" w:eastAsia="zh-CN"/>
        </w:rPr>
      </w:pPr>
      <w:r>
        <w:rPr>
          <w:rStyle w:val="24"/>
          <w:rFonts w:hint="eastAsia"/>
          <w:lang w:val="en-US" w:eastAsia="zh-CN"/>
        </w:rPr>
        <w:t>中国共产党发展党员工作细则</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周祖翼在泉州调研</w:t>
      </w:r>
    </w:p>
    <w:p>
      <w:pPr>
        <w:pStyle w:val="15"/>
        <w:ind w:left="565" w:leftChars="257" w:firstLine="0" w:firstLineChars="0"/>
        <w:jc w:val="left"/>
        <w:rPr>
          <w:rStyle w:val="24"/>
          <w:rFonts w:hint="eastAsia"/>
          <w:sz w:val="24"/>
          <w:szCs w:val="28"/>
          <w:lang w:val="en-US" w:eastAsia="zh-CN"/>
        </w:rPr>
      </w:pPr>
      <w:r>
        <w:rPr>
          <w:rStyle w:val="24"/>
          <w:rFonts w:hint="eastAsia"/>
          <w:sz w:val="24"/>
          <w:szCs w:val="28"/>
          <w:lang w:val="en-US" w:eastAsia="zh-CN"/>
        </w:rPr>
        <w:t>福建省人民代表大会常务委员会关于批准《泉州市传承弘扬创新发展“晋江经验”条例》的决定</w:t>
      </w:r>
    </w:p>
    <w:p>
      <w:pPr>
        <w:pStyle w:val="15"/>
        <w:ind w:left="565" w:leftChars="257" w:firstLine="0" w:firstLineChars="0"/>
        <w:jc w:val="left"/>
        <w:rPr>
          <w:rStyle w:val="24"/>
          <w:rFonts w:hint="eastAsia"/>
          <w:lang w:val="en-US" w:eastAsia="zh-CN"/>
        </w:rPr>
        <w:sectPr>
          <w:headerReference r:id="rId3" w:type="default"/>
          <w:footerReference r:id="rId4" w:type="default"/>
          <w:pgSz w:w="11907" w:h="16840"/>
          <w:pgMar w:top="1440" w:right="1644" w:bottom="1440" w:left="1701" w:header="851" w:footer="992" w:gutter="0"/>
          <w:cols w:space="425" w:num="1"/>
          <w:docGrid w:type="lines" w:linePitch="312" w:charSpace="0"/>
        </w:sectPr>
      </w:pPr>
      <w:r>
        <w:rPr>
          <w:rStyle w:val="24"/>
          <w:rFonts w:hint="eastAsia"/>
          <w:lang w:val="en-US" w:eastAsia="zh-CN"/>
        </w:rPr>
        <w:t>用好用足“晋江经验”制胜法宝 以正确政绩观引领21世纪“海丝名城”建设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习近平：在省部级主要领导干部学习贯彻党的二十届四中全会精神专题研讨班上的讲话</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党中央举办这次研讨班，主题是学习贯彻党的二十届四中全会精神。下面，我讲3个问题。</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一、充分认识制定和实施五年规划是我们的重要政治优势</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新中国成立以来，我国已经制定和实施了14个五年规划（计划）。我国从积贫积弱的农业国发展成为世界第二大经济体并向全面建成社会主义现代化强国目标迈进，这一系列五年规划在其中发挥了重要作用。实践证明，制定和实施五年规划，是我们党治国理政一条重要经验，是中国特色社会主义制度一个重要政治优势。这主要体现在4个方面。</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一是有利于实现党的领导。通过制定和实施五年规划，把党的主张转化为国家意志，凝聚全社会共识，激发全体人民奋斗力量，把党的领导落实到经济社会发展各方面全过程。</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二是有利于集中力量办大事。通过制定和实施五年规划，分阶段部署一批重大任务、重大项目、重大工程，调动各方面资源和力量按期完成，彰显了我国社会主义制度的优越性，有力支撑了经济社会发展和国家各方面建设。</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三是有利于前瞻性把握战略问题。我们党胸怀远大目标、立志于中华民族千秋伟业，始终高度重视战略问题。五年规划属于中期规划，是对长远战略的分步落实，也是实现长远战略目标的重要保障。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四是有利于保持事业连续性。实现社会主义现代化是一个阶梯式递进、不断发展进步的历史过程。制定和实施五年规划，能够在把握方向、明确奋斗目标的前提下，一步一步坚定走，一个阶段一个阶段向前推进，从而不断积小胜为大胜，保证党和国家事业行稳致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制定和实施五年规划，是一项政治性、政策性很强的工作，我们党在长期实践中创造积累了丰富经验。主要有：坚持党中央集中统一领导，由党中央把方向、谋大局、作决策，制定规划建议和重大政策性文件；坚持从实际出发，统筹国内和国际，兼顾需要和可能、当前和长远，在全面吃透情况的基础上科学确定目标任务、提出政策措施；坚持全国一盘棋，下位规划服从上位规划，等位规划相互协调，各级各类规划整体联动、形成合力；坚持发扬民主、集思广益，把顶层设计和问计于民统一起来，使规划广泛汇集经验智慧，充分激发各方面积极性；坚持规划法定原则，定了就抓落实，不随意更改、不折腾。</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对于我们的这个政治优势，党内外有普遍共识，国际社会也广泛赞誉。我们要进一步坚定制度自信，不断结合新的实际把这一优势发扬光大。</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二、全面深刻准确领会和把握党的二十届四中全会的战略部署</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党的二十届四中全会审议通过的《建议》，对“十五五”时期经济社会发展作出战略部署。这次研讨班，就是要通过集中学习和研讨，使大家对全会精神有更全面、更深刻、更准确的理解。</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全面，就是要以全局视野领会《建议》，将“十五五”时期经济社会发展的重大意义、面临形势、指导思想、重要原则、目标任务、政策举措等作为一个整体来把握，不能顾此失彼，更不能断章取义。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深刻，就是要对《建议》各项部署知其然又知其所以然，既明白是什么，又明白为什么、怎么做。特别是《建议》作出的重大判断、提出的创新举措，都是经过充分论证的，要真正理解透彻，不能囫囵吞枣、一知半解。</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准确，就是要精准把握《建议》各项部署的政策界限和尺度，做到该为的必须为、能为的努力为、不该为的决不为。不同的举措，在适用范围、进度要求、实施手段上有差异，都要根据具体情况把握好。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围绕全会文件起草和全会精神贯彻落实，我多次提出要求，特别是就把握“十五五”时期战略定位、坚定不移推动高质量发展、加快构建新发展格局、推动全体人民共同富裕、统筹发展和安全、统筹推进各领域工作、坚持党的全面领导等重大问题讲了不少意见。这里，我再就4个问题谈些认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第一，敏锐把握国内外形势新变化。《建议》指出，我国发展处于战略机遇和风险挑战并存、不确定难预料因素增多的时期。这是对形势的总体判断。影响形势的因素是多重的，而且往往十分复杂。我们分析形势，既要把各种因素考虑周全，又要善于把握其中一些关键因素的新变化。比如，以人工智能为代表的新一轮科技革命和产业变革，正在以加速突破之势催生新的生产方式、生活方式、学习方式、工作方式，促进了多方面发展，同时也带来一些潜在隐患，对我们用好机遇抓发展和加强治理避风险提出了新的更高的要求。又比如，我国人口总体上已经由增量发展转向减量发展阶段，呈现少子化、老龄化、区域人口增减分化等趋势性特征，要求我们在促进人口高质量发展的同时，对经济社会发展相关政策措施进行有针对性的研究完善。这些因素既有各自的变化轨迹和特点，又相互紧密关联，我们要及时捕捉、精准研判，以便对形势的把握始终居于主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把握国内外形势新变化，目的在于胸怀全局、登高望远，在战略上保持定力、充满信心，在战术上精心运筹、趋利避害，不断增强我国发展的确定性和可持续性。</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第二，扎扎实实建设现代化产业体系。《建议》把建设现代化产业体系摆在“十五五”时期各项战略任务的第一条，是经过深思熟虑的。这些年我国经济顶风破浪、保持强大韧性和活力，战略依托就是完整的产业体系。建设现代化产业体系是要实现产业体系整体跃升。各地区各行业要找准定位，坚持智能化、绿色化、融合化方向，充分发挥比较优势，形成上下游产业相互衔接、各展其长、同向发力的生动局面。</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现代化产业体系的骨干是先进制造业。《建议》强调把发展经济的着力点放在实体经济上，指向就是要保持制造业合理比重、大力发展先进制造业。现代化基础设施是现代化产业体系的有机组成部分。“十五五”刚刚开局，大家都在谋划推进，要注意算投入产出账，提高适配度，既不能无视短板，也不能过于超前、造成浪费。</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eastAsia="宋体"/>
          <w:kern w:val="0"/>
          <w:lang w:val="en-US" w:eastAsia="zh-CN"/>
        </w:rPr>
      </w:pPr>
      <w:r>
        <w:rPr>
          <w:rFonts w:hint="eastAsia"/>
          <w:kern w:val="0"/>
          <w:lang w:val="en-US" w:eastAsia="zh-CN"/>
        </w:rPr>
        <w:t>　　发展新质生产力是建设现代化产业体系的必然要求。对此，要坚持因地制宜，立足实际推动科技创新和产业创新深度融合，不能一哄而上、跟风冒进，更不能喜新厌旧、把传统产业优势丢掉。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第三，以加快构建新发展格局赢得战略主动。我国人口多、市场大、产业全、发展动能强，在全球产业链供应链中的地位难以替代，这是我们经济内生增长、自主发展的底气所在。构建新发展格局，必须坚持以国内大循环为主体，让内需成为我国经济发展的主动力。《建议》就建设强大国内市场提出明确要求，各地区各部门要正确处理消费和投资、需求和供给的关系，坚持惠民生和促消费、投资于物和投资于人紧密结合，找准政策发力点，努力提高国民经济循环质量和效率。</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构建新发展格局必须畅通国内国际双循环。如何以做强国内大循环提升扩大高水平对外开放的自主性，以拓展国际循环增强国内改革发展的活力，真正实现内外联通、互促共进，有很多问题需要深入研究。比如，如何更好推动国内大循环多节点、多链条联通国际循环，助力我国成为国际循环的重要枢纽和强大引擎，就需要深入研究。再比如，这些年我国企业走出去面临不少新问题，需要重点研究如何提高对外投资的科学性、安全性，如何加强海外利益保护。</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第四，推动经济和社会协调发展。经济发展和社会发展相辅相成，不能一条腿长一条腿短。五年规划之所以叫国民经济和社会发展规划，道理正在于此。</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促进社会发展，改善民生是重点。这些年，我多次强调要把发展经济和改善民生有机统一起来，制定经济发展政策同步嵌入改善民生的要求，制定民生政策同步考虑促进经济发展的效应。《建议》关于提高人民生活品质的目标和政策举措都是实打实的，要全面落实。</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促进社会发展，必须抓好社会治理。党的二十大以来，党中央把社会治理摆在更加重要的位置。各级党委和政府要适应我国社会发展变化，坚持党建引领，强化法治保障，夯实基层基础，切实提高社会治理水平。</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安全是发展的前提。必须统筹发展和安全，深入贯彻总体国家安全观，健全国家安全体系，不断增强经济和社会韧性，有效防范化解各类风险，全力维护国家安全和社会稳定。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当前，国家和地方的“十五五”规划纲要及专项规划正在加紧编制。我多次讲，规划科学是最大的效益，规划失误是最大的浪费，规划折腾是最大的忌讳。科学编制规划，务必贯彻定位准确、边界清晰、功能互补、统一衔接的要求，坚持科学决策、民主决策、依法决策。地方规划和各有关领域专项规划要与国家整体规划衔接好，体现国家整体规划的精神和要求，同时要因地因事制宜，把需要和可能统一起来，确保定了就做得到、能落地见效。这些年，有的地方和部门在规划编制中存在脱离实际、盲目跟风，层层加码、急躁冒进，简单“外包”、粗制滥造等问题，务必防止和纠正。</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三、着力提高党领导经济社会发展能力和水平</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“十五五”时期目标任务能否顺利完成，党领导经济社会发展能力和水平起着决定性作用，全党要在这方面狠下功夫。</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第一，进一步加强学习。每当重大历史关头，我们党总是号召全党加强学习。当前，科技创新突飞猛进，社会变革广泛深刻，新生事物层出不穷，一些干部素质能力跟不上，出现“本领恐慌”，特别是一遇到复杂局面就束手无策、心里发怵。解决这个问题还是要靠学习。首要的是钻研党的创新理论，吃透党中央大政方针和决策部署，提高政治能力和战略思维能力。要坚持干什么学什么、缺什么补什么，丰富专业知识，提高专业素养。要把读“有字书”和读“无字书”结合起来，多向成功探索学习经验，多向人民群众学习智慧，不断在实践中增强现代化建设本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第二，树立和践行正确政绩观。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党中央决定今年在全党开展树立和践行正确政绩观学习教育，重点要从党性上找差距、挖根源、强修养，动真碰硬解决突出问题。要引导党员干部特别是领导干部坚持为人民出政绩、以实干出政绩，自觉在追求政绩上杜绝标新立异、好大喜功、花拳绣腿、劳民伤财、新官不理旧账那一套。同时，要完善差异化考核评价体系，提高考评针对性和科学性，防止出现“数字出官、官出数字”的恶性循环。</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第三，大力弘扬斗争精神。新征程是新的长征，必须时刻准备进行具有许多新的历史特点的伟大斗争。面对外部打压遏制，面对经济社会发展中的深层次矛盾和问题，面对各种歪风邪气，全党同志特别是领导干部要挺身而出、迎难而上，敢于斗争、善于斗争，扎实储备谋略举措，及时果断消除风险隐患，努力把不利因素转化为克敌制胜的有利条件。各级党组织要在克难关、战风险、迎挑战的实践中锤炼、考验、识别干部，着力培养选拔敢打硬仗、善打胜仗的优秀干部。对那些遇到矛盾就绕道、碰到难题就低头、见到风险就缩身、关键时刻不亮剑的干部，在是非曲直面前模棱两可、当老好人的干部，决不能重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lang w:val="en-US" w:eastAsia="zh-CN"/>
        </w:rPr>
      </w:pPr>
      <w:r>
        <w:rPr>
          <w:rFonts w:hint="eastAsia"/>
          <w:kern w:val="0"/>
          <w:lang w:val="en-US" w:eastAsia="zh-CN"/>
        </w:rPr>
        <w:t>　　第四，坚定不移惩治腐败。腐败污染政治生态，破坏发展环境，必须严厉惩治。这些年反腐败力度空前、成效显著，但形势依然严峻复杂。必须始终保持反腐败高压态势，一步不停歇、半步不退让，决不能心慈手软。要认真落实二十届中央纪委五次全会精神，一体推进不敢腐、不能腐、不想腐，提高反腐败穿透力，进一步及时发现、准确识别、有效治理各类腐败问题，切实把权力关进制度笼子，着力铲除腐败滋生的土壤和条件。要增强法规制度执行力，立明规矩、破潜规则，防止制度成为“稻草人”。</w:t>
      </w:r>
    </w:p>
    <w:p>
      <w:pPr>
        <w:keepNext w:val="0"/>
        <w:keepLines w:val="0"/>
        <w:pageBreakBefore w:val="0"/>
        <w:widowControl w:val="0"/>
        <w:kinsoku/>
        <w:wordWrap/>
        <w:overflowPunct/>
        <w:topLinePunct w:val="0"/>
        <w:autoSpaceDE/>
        <w:autoSpaceDN/>
        <w:bidi w:val="0"/>
        <w:adjustRightInd/>
        <w:snapToGrid/>
        <w:ind w:left="0" w:leftChars="0" w:firstLine="440" w:firstLineChars="200"/>
        <w:textAlignment w:val="auto"/>
        <w:outlineLvl w:val="9"/>
        <w:rPr>
          <w:rFonts w:hint="eastAsia"/>
          <w:lang w:val="en-US" w:eastAsia="zh-CN"/>
        </w:rPr>
        <w:sectPr>
          <w:pgSz w:w="11907" w:h="16840"/>
          <w:pgMar w:top="1440" w:right="1644" w:bottom="1440" w:left="1701" w:header="851" w:footer="992" w:gutter="0"/>
          <w:cols w:space="425" w:num="1"/>
          <w:docGrid w:type="lines" w:linePitch="312" w:charSpace="0"/>
        </w:sectPr>
      </w:pPr>
      <w:r>
        <w:rPr>
          <w:rFonts w:hint="eastAsia"/>
          <w:lang w:val="en-US" w:eastAsia="zh-CN"/>
        </w:rPr>
        <w:t>（来源：求是）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i w:val="0"/>
          <w:caps w:val="0"/>
          <w:spacing w:val="0"/>
          <w:sz w:val="19"/>
          <w:szCs w:val="19"/>
        </w:rPr>
      </w:pPr>
      <w:r>
        <w:rPr>
          <w:rFonts w:hint="eastAsia" w:ascii="微软雅黑" w:hAnsi="微软雅黑" w:eastAsia="微软雅黑" w:cs="微软雅黑"/>
          <w:b/>
          <w:i w:val="0"/>
          <w:caps w:val="0"/>
          <w:spacing w:val="8"/>
          <w:sz w:val="33"/>
          <w:szCs w:val="33"/>
          <w:shd w:val="clear" w:fill="FFFFFF"/>
          <w:lang w:val="en-US" w:eastAsia="zh-CN"/>
        </w:rPr>
        <w:t>做强做优做大实体经济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28"/>
          <w:szCs w:val="28"/>
          <w:shd w:val="clear" w:fill="FFFFFF"/>
          <w:lang w:val="en-US" w:eastAsia="zh-CN"/>
        </w:rPr>
      </w:pPr>
      <w:r>
        <w:rPr>
          <w:rFonts w:hint="eastAsia" w:ascii="微软雅黑" w:hAnsi="微软雅黑" w:eastAsia="微软雅黑" w:cs="微软雅黑"/>
          <w:b/>
          <w:i w:val="0"/>
          <w:caps w:val="0"/>
          <w:spacing w:val="8"/>
          <w:sz w:val="24"/>
          <w:szCs w:val="24"/>
          <w:shd w:val="clear" w:fill="FFFFFF"/>
          <w:lang w:val="en-US" w:eastAsia="zh-CN"/>
        </w:rPr>
        <w:t>习近平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振兴实体经济是供给侧结构性改革的主要任务，供给侧结构性改革要向振兴实体经济发力、聚力。不论经济发展到什么时候，实体经济都是我国经济发展、我们在国际经济竞争中赢得主动的根基。我国经济是靠实体经济起家的，也要靠实体经济走向未来。我们学不了有的国家大搞虚拟经济那一套，而且搞虚拟经济本身就有很大隐患。我国有13亿多人口，老百姓衣食住行用，经济社会发展物质技术支撑，离开了实体经济是不行的，世界上哪个国家有这个能力给我们提供。这一点，我们必须牢记在心，千万不能把关系国家安全、关系国计民生、关系国际竞争力的实体经济搞虚了、搞少了。</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（2016年12月14日在中央经济工作会议上的讲话）</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一个国家一定要有正确的战略选择，我国是个大国，必须发展实体经济，不断推进工业现代化、提高制造业水平，不能脱实向虚。</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（2017年4月20日在广西考察时的讲话）</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实体经济是一国经济的立身之本，是财富创造的根本源泉，是国家强盛的重要支柱。要深化供给侧结构性改革，加快发展先进制造业，推动互联网、大数据、人工智能同实体经济深度融合，推动资源要素向实体经济集聚、政策措施向实体经济倾斜、工作力量向实体经济加强，营造脚踏实地、勤劳创业、实业致富的发展环境和社会氛围。</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（2018年1月30日在十九届中央政治局第三次集体学习时的讲话）</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制造业是立国之本、强国之基。我国仍处于工业化发展阶段，却已出现制造业占经济比重过快下降问题，必须引起高度关注。要把制造业高质量发展放到更加突出的位置，采取有力措施，推动先进制造业和现代服务业深度融合，坚定不移建设制造强国。</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（2018年12月19日在中央经济工作会议上的讲话）</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制造业是实体经济的基础，实体经济是我国发展的本钱，是构筑未来发展战略优势的重要支撑。要坚定推进产业转型升级，加强自主创新，发展高端制造、智能制造，把我国制造业和实体经济搞上去，推动我国经济由量大转向质强，扎扎实实实现“两个一百年”奋斗目标。</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（2019年9月17日在河南考察时的讲话）</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要深刻把握发展的阶段性新特征新要求，坚持把做实做强做优实体经济作为主攻方向，一手抓传统产业转型升级，一手抓战略性新兴产业发展壮大，推动制造业加速向数字化、网络化、智能化发展，提高产业链供应链稳定性和现代化水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（2020年8月21日在安徽考察时的讲话）</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推动数字经济和实体经济融合发展。要把握数字化、网络化、智能化方向，推动制造业、服务业、农业等产业数字化，利用互联网新技术对传统产业进行全方位、全链条的改造，提高全要素生产率，发挥数字技术对经济发展的放大、叠加、倍增作用。要推动互联网、大数据、人工智能同产业深度融合，加快培育一批“专精特新”企业和制造业单项冠军企业。当然，要脚踏实地、因企制宜，不能为数字化而数字化。</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（2021年10月18日在十九届中央政治局第三十四次集体学习时的讲话）</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（2022年10月16日在中国共产党第二十次全国代表大会上的报告）</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当前，全球产业体系和产业链供应链呈现多元化布局、区域化合作、绿色化转型、数字化加速的态势，这是经济发展规律和历史大趋势，不以人的意志为转移。我们要继续把发展经济的着力点放在实体经济上，扎实推进新型工业化，加快建设制造强国、质量强国、网络强国、数字中国，打造具有国际竞争力的数字产业集群。顺应产业发展大势，从时空两方面统筹抓好产业升级和产业转移。一方面，推动短板产业补链、优势产业延链，传统产业升链、新兴产业建链，增强产业发展的接续性和竞争力；另一方面，深化改革健全区域战略统筹、市场一体化发展等机制，优化生产力布局，推动重点产业在国内外有序转移，支持企业深度参与全球产业分工和合作，促进内外产业深度融合，打造自主可控、安全可靠、竞争力强的现代化产业体系。</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（2023年1月31日在二十届中央政治局第二次集体学习时的讲话）</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新时代新征程，以中国式现代化全面推进强国建设、民族复兴伟业，实现新型工业化是关键任务。要完整、准确、全面贯彻新发展理念，统筹发展和安全，深刻把握新时代新征程推进新型工业化的基本规律，积极主动适应和引领新一轮科技革命和产业变革，把高质量发展的要求贯穿新型工业化全过程，把建设制造强国同发展数字经济、产业信息化等有机结合，为中国式现代化构筑强大物质技术基础。</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（2023年9月对推进新型工业化的指示）</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坚持把金融服务实体经济作为根本宗旨。实体经济是金融的根基，金融是实体经济的血脉，服务实体经济是金融的天职。如果热衷于自我循环、自我膨胀，金融就会变成无源之水、无本之木，迟早酿成危机。我国金融必须守好服务实体经济本分，推动高质量发展，决不能脱实向虚。</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（2024年1月16日在省部级主要领导干部推动金融高质量发展专题研讨班上的讲话）</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十五五”时期，必须把因地制宜发展新质生产力摆在更加突出的战略位置，以科技创新为引领、以实体经济为根基，坚持全面推进传统产业转型升级、积极发展新兴产业、超前布局未来产业并举，加快建设现代化产业体系。要完善国家创新体系，激发各类创新主体活力，瞄准世界科技前沿，在加强基础研究、提高原始创新能力上持续用力，在突破关键核心技术、前沿技术上抓紧攻关。要统筹推进教育科技人才一体发展，筑牢新质生产力发展的基础性、战略性支撑。</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（2025年4月30日在部分省区市“十五五”时期经济社会发展座谈会上的讲话）</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（2025年10月20日《关于〈中共中央关于制定国民经济和社会发展第十五个五年规划的建议〉的说明》）</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必须坚持投资于物和投资于人紧密结合。既要扩大对实体经济和科技创新的有效投资，又要加强人力资源开发，促进物质资本和人力资本积累相协调，做到投资于物和投资于人双向赋能、相互促进。</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（2025年12月10日在中央经济工作会议上的讲话）</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必须以苦练内功来应对外部挑战。面对国际风云变幻和各种风险挑战，我们要保持战略定力，坚定不移把自己的事情办好，不断做强做优做大实体经济，全面增强自主创新能力，在惊涛骇浪中始终立于不败之地。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（2025年12月10日在中央经济工作会议上的讲话）</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（来源：求是，这是习近平总书记2016年12月至2025年12月期间有关做强做优做大实体经济重要论述的节录。）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b/>
          <w:i w:val="0"/>
          <w:caps w:val="0"/>
          <w:spacing w:val="15"/>
          <w:sz w:val="27"/>
          <w:szCs w:val="27"/>
          <w:shd w:val="clear" w:fill="FFFFFF"/>
        </w:rPr>
      </w:pPr>
      <w:r>
        <w:rPr>
          <w:rFonts w:hint="eastAsia" w:ascii="微软雅黑" w:hAnsi="微软雅黑" w:eastAsia="微软雅黑" w:cs="微软雅黑"/>
          <w:b/>
          <w:i w:val="0"/>
          <w:caps w:val="0"/>
          <w:spacing w:val="8"/>
          <w:sz w:val="33"/>
          <w:szCs w:val="33"/>
          <w:shd w:val="clear" w:fill="FFFFFF"/>
          <w:lang w:val="en-US" w:eastAsia="zh-CN"/>
        </w:rPr>
        <w:t>中国共产党发展党员工作细则</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center"/>
        <w:textAlignment w:val="auto"/>
        <w:outlineLvl w:val="9"/>
        <w:rPr>
          <w:rFonts w:hint="eastAsia"/>
          <w:b/>
          <w:bCs/>
          <w:kern w:val="0"/>
          <w:lang w:val="en-US" w:eastAsia="zh-CN"/>
        </w:rPr>
      </w:pPr>
      <w:r>
        <w:rPr>
          <w:rFonts w:hint="eastAsia"/>
          <w:b/>
          <w:bCs/>
          <w:kern w:val="0"/>
          <w:lang w:val="en-US" w:eastAsia="zh-CN"/>
        </w:rPr>
        <w:t>（2014年5月8日中共中央政治局常委会会议审议批准 2014年5月28日中共中央办公厅发布 2026年4月2日中共中央政治局常委会会议修订 2026年5月11日中共中央办公厅发布）</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center"/>
        <w:textAlignment w:val="auto"/>
        <w:outlineLvl w:val="9"/>
        <w:rPr>
          <w:rFonts w:hint="eastAsia"/>
          <w:b/>
          <w:bCs/>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第一条 为了规范和加强发展党员工作，提高新发展的党员质量，保持党的先进性和纯洁性，根据《中国共产党章程》和有关党内法规，制定本细则。</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第二条 中国共产党党员是中国工人阶级的有共产主义觉悟的先锋战士。党的基层组织应当把吸收具有马克思主义信仰、共产主义觉悟和中国特色社会主义信念，深刻领悟“两个确立”的决定性意义，增强“四个意识”、坚定“四个自信”、做到“两个维护”，自觉践行社会主义核心价值观的先进分子入党，作为一项经常性重要工作。</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第三条 发展党员工作坚持马克思列宁主义、毛泽东思想、邓小平理论、“三个代表”重要思想、科学发展观，全面贯彻习近平新时代中国特色社会主义思想，贯彻党的基本理论、基本路线、基本方略，贯彻新时代党的建设总要求，贯彻全面从严治党战略方针，按照控制总量、优化结构、提高质量、发挥作用的总要求，坚持党章规定的党员标准，始终把政治标准放在首位，严格程序、严格把关、严肃纪律，发展政治品质纯洁的党员；坚持综合平衡、分类指导，有领导、有计划地进行；坚持入党自愿原则和个别吸收原则，成熟一个，发展一个。</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禁止突击发展，反对“关门主义”。</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第二章 入党积极分子的确定和培养教育</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第四条 党组织应当通过宣传党的政治主张和深入细致的思想政治工作，提高党外群众对党的认识，增进对党的感情，不断扩大入党积极分子队伍。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第五条 年满十八岁的中国工人、农民、军人、知识分子和其他社会阶层的先进分子，承认党的纲领和章程，愿意参加党的一个组织并在其中积极工作、执行党的决议和按期交纳党费的，可以申请加入中国共产党。</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第六条 入党申请人应当向工作、学习所在单位党组织提出入党申请，工作、学习单位未建立党组织的，应当向工作、学习单位所在地党组织，单位主管部门党组织或者居住地党组织提出入党申请；没有工作、学习单位的，应当向居住地党组织提出入党申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流动人员还可以向流动党员党组织提出入党申请。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第七条 党组织收到入党申请书后，应当在一个月内派人同入党申请人谈话，了解学习工作经历、对党的认识、入党动机、遵纪守法以及家庭情况等基本情况，并向其介绍党的基本知识、党员的标准和条件。</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第八条 在入党申请人中确定入党积极分子，应当采取党员推荐、群团组织推优等方式产生人选，由党支部委员会会议（不设党支部委员会的由党支部党员大会，下同）研究决定后，报上级党委备案。</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第九条 党组织应当指定一至两名正式党员作入党积极分子的培养联系人。培养联系人由经过一定时间党内生活的锻炼、能够用党员标准严格要求自己、先锋模范作用发挥比较好、善于做思想政治工作、责任心强的党员担任，主要任务是：</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（一）向入党积极分子介绍和阐释共产党人的信仰信念，介绍党的基本知识，引导其深入学习领会习近平新时代中国特色社会主义思想；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（二）经常谈心谈话，了解入党积极分子的政治觉悟、道德品质、现实表现和家庭情况等，做好培养教育工作，引导入党积极分子端正入党动机；</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（三）及时向党支部汇报入党积极分子情况，在《入党积极分子培养考察登记表》上认真填写自己的意见；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（四）向党支部提出能否将入党积极分子列为发展对象的意见。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对因工作岗位发生变动无法正常履行职责，以及其他原因不适宜担任培养联系人的，党组织应当及时予以调整。</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第十条 党组织应当采取吸收入党积极分子听党课、参加党内有关活动，给他们分配一定的社会工作以及集中培训等方法，对入党积极分子进行马克思列宁主义、毛泽东思想、邓小平理论、“三个代表”重要思想、科学发展观、习近平新时代中国特色社会主义思想教育，党的路线、方针、政策和党章、党的基本知识教育，党的历史和优良传统、作风教育，党的纪律教育，社会主义核心价值观教育，使他们懂得党的性质、纲领、宗旨、组织原则和纪律，懂得党员的义务和权利，帮助他们端正入党动机，确立为共产主义事业奋斗终身的信念。</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第十一条 党支部每半年对入党积极分子进行一次考察。县级党委组织部门和基层党委每年对入党积极分子队伍状况作一次分析。针对存在的问题，采取改进措施。</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第十二条 入党积极分子工作、学习所在单位或者居住地发生变动，应当及时报告原单位或者居住地党组织。原单位或者居住地党组织应当及时将入党申请书、《入党积极分子培养考察登记表》等材料转交现单位或者居住地党组织。现单位或者居住地党组织应当对有关材料进行认真审查，并接续做好培养教育工作。培养教育时间可以连续计算。</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第三章 发展对象的确定和考察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第十三条 对经过一年以上培养教育和考察、基本具备党员条件的入党积极分子，在听取党小组、培养联系人、党员和群众等意见的基础上，党支部委员会会议研究讨论并报上级党委同意拟列为发展对象的，在工作、学习单位或者居住地进行公示，公示期不少于五个工作日。拟列为发展对象的流动人员，应当在流出地和流入地同时公示。公示结果不影响发展入党的，可以列为发展对象。</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第十四条 发展对象应当有两名正式党员作入党介绍人。入党介绍人一般由培养联系人担任，也可以由党组织指定。</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受警告、严重警告、撤销党内职务处分在影响期内的党员，不宜作入党介绍人。受留党察看处分、尚未恢复党员权利的党员，不能作入党介绍人。</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第十五条 入党介绍人的主要任务是：</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（一）向发展对象解释党的纲领、章程，说明党员的条件、义务和权利；</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（二）认真了解发展对象的入党动机、政治觉悟、道德品质、学习工作经历、现实表现等情况，如实向党组织汇报；</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（三）指导发展对象填写《中国共产党入党志愿书》，并认真填写自己的意见；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（四）向党支部党员大会负责地介绍发展对象的情况；</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（五）发展对象批准为预备党员后，继续对其进行教育帮助，在《预备党员教育考察登记表》上认真填写自己的意见。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第十六条 党组织必须对发展对象进行政治审查，深入了解其入党动机、政治素质和现实表现等情况。</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政治审查的主要内容是：坚定马克思主义信仰、共产主义觉悟和中国特色社会主义信念的情况；深刻领悟“两个确立”的决定性意义，增强“四个意识”、坚定“四个自信”、做到“两个维护”的现实表现；对党的理论和路线、方针、政策的态度；政治历史和在重大政治斗争、急难险重任务中的表现；遵纪守法和遵守社会公德、家庭美德以及网络行为表现的情况；家庭主要成员和重要社会关系的政治情况。</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政治审查的基本方法是：同本人谈话、查阅有关档案材料、找有关单位和人员了解情况以及必要的函调或者外调。在听取本人介绍和查阅有关材料后，情况清楚的可以不函调或者外调。对流动人员中的发展对象进行政治审查时，还应当征求其户籍所在地和居住地基层党组织的意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政治审查时，基层党委根据需要听取有关部门的意见，县级党委组织部门和执纪执法等相关部门建立政审联审制度。</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政治审查必须严肃认真、实事求是，注重本人的一贯表现。审查情况应当形成结论性材料。</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凡是未经政治审查或者政治审查不合格的，不能发展入党。</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第十七条 基层党委或者县级党委组织部门应当对发展对象进行短期集中培训，一般采取线下方式，根据需要也可以采取视频方式。培训时间一般不少于三天或者不少于二十四个学时。培训时主要学习习近平新时代中国特色社会主义思想，学习党章和有关党内法规，学习党的历史。中央组织部组织编写的《入党教材》，可以作为学习辅导材料。</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除个别特殊情况外，未经培训的，不能发展入党。</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第四章 预备党员的接收</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第十八条 党支部委员会应当对发展对象进行严格审查，经集体讨论认为合格后，报具有审批权限的基层党委预审。</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基层党委对发展对象的条件、培养教育情况等进行审查。审查结果以书面形式通知党支部，并向审查合格的发展对象发放《中国共产党入党志愿书》。</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发展对象未来三个月内将离开工作、学习单位的，一般不办理接收预备党员的手续。</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第十九条 经基层党委预审合格的发展对象，应当在一个月内提交党支部党员大会讨论。</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召开讨论接收预备党员的党支部党员大会，实际到会有表决权的党员人数必须超过应到会有表决权的党员人数的半数。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第二十条 党支部党员大会讨论接收预备党员的主要程序是：</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（一）发展对象汇报对党的认识、入党动机、本人履历、家庭主要成员和重要社会关系情况，以及需向党组织说明的问题。</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（二）入党介绍人介绍发展对象有关情况，并对其能否入党表明意见。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（三）党支部委员会报告对发展对象的审查情况。</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四）与会党员对发展对象能否入党进行充分讨论，并采取无记名投票方式进行表决。赞成人数超过应到会有表决权的党员人数的半数，才能通过接收预备党员的决议。因故不能到会的有表决权的党员，在党支部党员大会召开前正式向党支部提出书面意见的，应当统计在票数内。</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党支部党员大会讨论两个以上的发展对象入党时，必须逐个讨论和表决。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第二十一条 党支部应当及时将党员大会决议写入《中国共产党入党志愿书》，连同本人入党申请书、《入党积极分子培养考察登记表》、政治审查材料等，一并报上级党委（工委，下同）审批。</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党支部党员大会决议主要包括：发展对象的主要表现；应到会和实际到会有表决权的党员人数；表决结果；通过决议的日期；党支部书记签名。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第二十二条 预备党员必须由党委审批。</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乡镇（街道）党委所属的基层党委，不能审批预备党员，但应当对党支部党员大会通过接收的预备党员进行审议。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党总支不能审批预备党员，但应当对党支部党员大会通过接收的预备党员进行审议。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除另有规定外，临时党组织不能接收、审批预备党员。</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党组不能审批预备党员，但应当按照党章和有关规定讨论和决定发展党员重要事项。</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第二十三条 党委审批前，应当指派党委委员或者组织员同发展对象谈话，作进一步的了解，并帮助发展对象提高对党的认识。谈话人应当将谈话情况和自己对发展对象能否入党的意见，如实填写在《中国共产党入党志愿书》上，并向党委汇报。</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第二十四条 党委审批预备党员，必须集体讨论和表决。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党委会审批两个以上的发展对象入党时，应当逐个审议和表决。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第二十五条 党委对党支部上报的接收预备党员的决议，应当在三个月内审批，并报上级党委组织部门备案。如遇特殊情况可以适当延长审批时间，但不得超过六个月。</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第二十六条 在特殊情况下，党的中央和省（自治区、直辖市）委员会可以直接接收党员。</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第二十七条 对在中国特色社会主义事业中为党和人民利益英勇献身，事迹突出，在一定范围内有较大影响，生前一贯表现良好并曾向党组织提出过入党要求的人员，可以追认为党员。</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追认党员必须严格掌握，由所在单位党组织讨论决定后，经上级党委审查，报省一级党委批准。</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第五章 预备党员的教育、考察和转正</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第二十八条 党组织应当及时将上级党委批准的预备党员编入党支部和党小组，对预备党员继续进行教育和考察。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第二十九条 预备党员必须面向党旗进行入党宣誓。入党宣誓仪式，一般在批复同意接收预备党员后的一个月内，由基层党委或者党支部（党总支）组织进行。</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县级以上党委可以在“七一”、国庆等重大纪念日组织集中宣誓。</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第三十条 党组织应当通过党的组织生活、听取本人汇报、个别谈心、集中培训、实践锻炼、志愿服务等方式，对预备党员进行教育和考察，引导其不断提高政治觉悟，自觉用党员标准严格要求自己，在生产、工作、学习和社会生活中起先锋模范作用。</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第三十一条 预备党员的预备期为一年。预备期从党支部党员大会通过其为预备党员之日算起。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预备党员违犯党纪，情节较轻，可以保留预备党员资格的，应当对其进行批评教育或者延长预备期；情节较重的，应当取消其预备党员资格。</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预备党员转为正式党员、延长预备期或者取消预备党员资格，应当经党支部党员大会讨论通过和上级党组织批准。</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第三十二条 预备党员转正的手续是：本人向党支部提出书面转正申请；党支部征求党小组、党员和群众的意见；党支部委员会审查；党支部党员大会讨论、表决通过；报上级党委审批。</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讨论预备党员转正的党支部党员大会，对到会人数、赞成人数等要求与讨论接收预备党员的党支部党员大会相同。</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第三十三条 党委对党支部上报的预备党员转正的决议，应当在三个月内审批。审批结果应当及时通知党支部。党支部书记应当同本人谈话，并将审批结果在党员大会上宣布。</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党员的党龄，从预备期满转为正式党员之日算起。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第三十四条 预备期未满的预备党员工作、学习所在单位或者居住地发生变动，应当及时报告原所在党组织。原所在党组织应当及时将对其培养教育和考察的情况，认真负责地介绍给接收预备党员的党组织。</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党组织应当对转入的预备党员的入党材料进行严格审查，对无法认定的预备党员，报县级以上党委组织部门批准，不予承认。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第三十五条 基层党组织对转入的预备党员，在其预备期满时，如认为有必要，可以推迟讨论其转正问题，推迟时间不超过六个月。转为正式党员的，其转正时间自预备期满之日算起。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第三十六条 预备党员转正后，党支部应当及时将其《中国共产党入党志愿书》、入党申请书、《入党积极分子培养考察登记表》、政治审查材料、《预备党员教育考察登记表》、转正申请书等，交党委存入本人人事档案。无人事档案的，建立党员档案，由所在党委或者县级党委组织部门保存。</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有条件的地方和单位，实行党员档案电子化管理。</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第六章 发展党员工作的领导和纪律</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第三十七条 各级党委应当把发展党员工作列入重要议事日程，纳入党建工作责任制，作为党委（党组）书记抓基层党建工作述职评议考核、巡视巡察和党务公开的重要内容。对发展党员工作情况，各级地方党委要加强日常督促检查，及时发现和解决存在的问题。</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注重从青年和产业工人、农民、知识分子中发展党员，重视在生产、工作第一线发展党员，做好在新兴领域中发展党员工作，优化党员队伍结构。对具备发展党员条件但长期不做发展党员工作的基层党组织，上级党委应当加强指导和督促检查，必要时对其进行组织整顿。</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第三十八条 各级党委组织部门每年应当向同级党委和上级党委组织部门报告发展党员工作情况和发展党员工作计划，如实反映带有倾向性的问题和对违反规定发展党员的查处情况。</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第三十九条 乡镇、街道、国有企业、高等学校等基层党委，按照规定配备一定数量的专兼职组织员。县级以上党委及其组织部门应当重视对组织员的选拔、配备和培训，加强业务指导和管理，充分发挥他们在发展党员工作中的作用。</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第四十条 各级党委及其组织部门应当加强对流动党员党组织发展党员工作的领导和指导。具备发展党员条件的流动党员党组织，按照规定做好确定和培养教育入党积极分子、确定和考察发展对象以及预备党员的接收和转正等工作；尚不具备发展党员条件的，做好入党申请人的教育引导、入党积极分子的培养教育等工作，并及时向有关党组织介绍情况、转交相关材料。</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第四十一条 各级党组织对发展党员工作中出现的违规违纪问题和不正之风，应当严肃查处。</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对存在不坚持标准、不履行或者违反规定程序和培养考察失职、审查把关不严，采取弄虚作假或者其他手段把不符合党员条件的人发展为党员，为非党员出具党员身份证明等问题的党组织及相关责任人，以及不如实向党组织报告有关情况，篡改、伪造个人档案资料，隐瞒入党前严重错误的人员，应当依据《中国共产党纪律处分条例》和有关规定作出处理。</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对发展党员工作中的违规违纪典型案例，应当及时通报。对违反规定吸收入党的，应当综合分析研判，不符合党员条件的，一律不予承认党员身份，并在党支部党员大会上公布。</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第四十二条 《中国共产党入党志愿书》的式样由中央组织部负责制定，省级党委组织部门按照式样统一印制，并严格管理。</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《入党积极分子培养考察登记表》、《预备党员教育考察登记表》的式样由中央组织部负责制定，其印制、管理等由省级党委组织部门作出安排。</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第四十三条 本细则由中央组织部负责解释。</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第四十四条 本细则自发布之日起施行。</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（来源：新华社、新闻联播）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b/>
          <w:bCs/>
          <w:kern w:val="0"/>
          <w:lang w:val="en-US" w:eastAsia="zh-CN"/>
        </w:rPr>
      </w:pPr>
      <w:r>
        <w:rPr>
          <w:rFonts w:hint="eastAsia" w:ascii="微软雅黑" w:hAnsi="微软雅黑" w:eastAsia="微软雅黑" w:cs="微软雅黑"/>
          <w:b/>
          <w:i w:val="0"/>
          <w:caps w:val="0"/>
          <w:spacing w:val="8"/>
          <w:sz w:val="33"/>
          <w:szCs w:val="33"/>
          <w:shd w:val="clear" w:fill="FFFFFF"/>
          <w:lang w:val="en-US" w:eastAsia="zh-CN"/>
        </w:rPr>
        <w:t>周祖翼在泉州调研</w:t>
      </w:r>
    </w:p>
    <w:p>
      <w:pPr>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auto"/>
        <w:outlineLvl w:val="9"/>
        <w:rPr>
          <w:rFonts w:hint="eastAsia"/>
          <w:b/>
          <w:bCs/>
          <w:kern w:val="0"/>
          <w:lang w:val="en-US" w:eastAsia="zh-CN"/>
        </w:rPr>
      </w:pPr>
      <w:r>
        <w:rPr>
          <w:rFonts w:hint="eastAsia"/>
          <w:b/>
          <w:bCs/>
          <w:kern w:val="0"/>
          <w:lang w:val="en-US" w:eastAsia="zh-CN"/>
        </w:rPr>
        <w:t>周祖翼在泉州调研强调</w:t>
      </w:r>
    </w:p>
    <w:p>
      <w:pPr>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auto"/>
        <w:outlineLvl w:val="9"/>
        <w:rPr>
          <w:rFonts w:hint="eastAsia"/>
          <w:b/>
          <w:bCs/>
          <w:kern w:val="0"/>
          <w:lang w:val="en-US" w:eastAsia="zh-CN"/>
        </w:rPr>
      </w:pPr>
      <w:r>
        <w:rPr>
          <w:rFonts w:hint="eastAsia"/>
          <w:b/>
          <w:bCs/>
          <w:kern w:val="0"/>
          <w:lang w:val="en-US" w:eastAsia="zh-CN"/>
        </w:rPr>
        <w:t>牢固树立和践行正确政绩观</w:t>
      </w:r>
    </w:p>
    <w:p>
      <w:pPr>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auto"/>
        <w:outlineLvl w:val="9"/>
        <w:rPr>
          <w:rFonts w:hint="eastAsia"/>
          <w:b/>
          <w:bCs/>
          <w:kern w:val="0"/>
          <w:lang w:val="en-US" w:eastAsia="zh-CN"/>
        </w:rPr>
      </w:pPr>
      <w:r>
        <w:rPr>
          <w:rFonts w:hint="eastAsia"/>
          <w:b/>
          <w:bCs/>
          <w:kern w:val="0"/>
          <w:lang w:val="en-US" w:eastAsia="zh-CN"/>
        </w:rPr>
        <w:t>奋力推动经济社会高质量发展</w:t>
      </w:r>
    </w:p>
    <w:p>
      <w:pPr>
        <w:keepNext w:val="0"/>
        <w:keepLines w:val="0"/>
        <w:pageBreakBefore w:val="0"/>
        <w:widowControl w:val="0"/>
        <w:kinsoku/>
        <w:wordWrap/>
        <w:overflowPunct/>
        <w:topLinePunct w:val="0"/>
        <w:autoSpaceDE/>
        <w:autoSpaceDN/>
        <w:bidi w:val="0"/>
        <w:adjustRightInd w:val="0"/>
        <w:snapToGrid/>
        <w:spacing w:line="320" w:lineRule="exact"/>
        <w:ind w:firstLine="440" w:firstLineChars="20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val="0"/>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4月16日至17日，省委书记周祖翼深入泉州市泉港区、安溪县的企业、社区、村镇，与一线干部群众面对面交流，调研推动产业发展、基层治理、乡村振兴等工作。周祖翼强调，要深入学习贯彻习近平总书记对福建工作的重要讲话重要指示批示精神，扎实开展树立和践行正确政绩观学习教育，深入开展“三争”行动，坚持求真务实、真抓实干，加快构建体现福建特色现代化产业体系，改革创新社会治理模式，推进乡村全面振兴，奋力推动经济社会高质量发展。</w:t>
      </w:r>
    </w:p>
    <w:p>
      <w:pPr>
        <w:keepNext w:val="0"/>
        <w:keepLines w:val="0"/>
        <w:pageBreakBefore w:val="0"/>
        <w:widowControl w:val="0"/>
        <w:kinsoku/>
        <w:wordWrap/>
        <w:overflowPunct/>
        <w:topLinePunct w:val="0"/>
        <w:autoSpaceDE/>
        <w:autoSpaceDN/>
        <w:bidi w:val="0"/>
        <w:adjustRightInd w:val="0"/>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现代化工产业是我省5大万亿立柱的产业集群之一。在福建联合石油化工有限公司，周祖翼详细听取了企业布局规划、产业链延伸及带动当地石化产业发展的相关介绍，询问当前市场产品供应情况，并通过中控室察看了生产经营、安全环保和节能增效等情况。周祖翼希望企业牢记嘱托、矢志奋斗，推进规模化、一体化、精细化发展，充分发挥链主作用，带动更多关联产业落地，多元化保障原油供应，努力打造具有持续竞争力的世界级石化产业基地，为福建发展作出新贡献。要坚持安全第一，常态化开展隐患排查整治，加大安全教育培训，保障企业高质量、可持续发展。</w:t>
      </w:r>
    </w:p>
    <w:p>
      <w:pPr>
        <w:keepNext w:val="0"/>
        <w:keepLines w:val="0"/>
        <w:pageBreakBefore w:val="0"/>
        <w:widowControl w:val="0"/>
        <w:kinsoku/>
        <w:wordWrap/>
        <w:overflowPunct/>
        <w:topLinePunct w:val="0"/>
        <w:autoSpaceDE/>
        <w:autoSpaceDN/>
        <w:bidi w:val="0"/>
        <w:adjustRightInd w:val="0"/>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福建立亚化学有限公司和福建臻璟新材料有限公司致力于新材料开发，市场前景广阔。周祖翼详细了解企业开展自主研发、人才引进和科技成果转化、市场应用等情况，察看了关键工艺流程等，并与科研人员深入交流。他鼓励企业聚焦新材料赛道、瞄准“专精特新”，加大科技创新投入，深化产学研用协同，强化创新人才引育，推动企业不断做大做强。</w:t>
      </w:r>
    </w:p>
    <w:p>
      <w:pPr>
        <w:keepNext w:val="0"/>
        <w:keepLines w:val="0"/>
        <w:pageBreakBefore w:val="0"/>
        <w:widowControl w:val="0"/>
        <w:kinsoku/>
        <w:wordWrap/>
        <w:overflowPunct/>
        <w:topLinePunct w:val="0"/>
        <w:autoSpaceDE/>
        <w:autoSpaceDN/>
        <w:bidi w:val="0"/>
        <w:adjustRightInd w:val="0"/>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泉州福海粮油工业有限公司、尚品千艺模型有限公司近年来深耕主业、做强实业，通过自主研发走出了创新发展的路子。周祖翼饶有兴致地察看了两家企业的创新产品，了解企业市场营销、产品应用等情况。在与企业负责人交流中，周祖翼鼓励企业守牢实体经济，用新技术改造提升传统产业，积极向高端化、智能化、绿色化转型，积极引进人才留住人才，推动产业向更高端跃升。</w:t>
      </w:r>
    </w:p>
    <w:p>
      <w:pPr>
        <w:keepNext w:val="0"/>
        <w:keepLines w:val="0"/>
        <w:pageBreakBefore w:val="0"/>
        <w:widowControl w:val="0"/>
        <w:kinsoku/>
        <w:wordWrap/>
        <w:overflowPunct/>
        <w:topLinePunct w:val="0"/>
        <w:autoSpaceDE/>
        <w:autoSpaceDN/>
        <w:bidi w:val="0"/>
        <w:adjustRightInd w:val="0"/>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安溪县凤城镇文昌社区三远江滨花园小区，通过党建引领和机制创新，推动社区、业委会、物业三方协同治理，探索基层治理新模式。周祖翼一行走进小区，察看了小区公共设施、社会工作服务站、物业服务中心，详细了解物业管理“业账社审”、盘活闲置公共资产和开展“社区+物业+养老服务”工作等情况。他说，社区连着千家万户，是服务群众的“最后一公里”。要坚持共建共治共享，聚焦居民急难愁盼问题，推动资源、管理下沉，完善社区近邻服务，强化“一老一小”保障，美化周边环境，切实把社区建设好、造福广大民众。要充分发挥基层党组织战斗堡垒作用和党员先锋模范作用，把好的经验总结提炼形成制度机制，以基层社会治理的新成效不断增强群众获得感幸福感安全感。</w:t>
      </w:r>
    </w:p>
    <w:p>
      <w:pPr>
        <w:keepNext w:val="0"/>
        <w:keepLines w:val="0"/>
        <w:pageBreakBefore w:val="0"/>
        <w:widowControl w:val="0"/>
        <w:kinsoku/>
        <w:wordWrap/>
        <w:overflowPunct/>
        <w:topLinePunct w:val="0"/>
        <w:autoSpaceDE/>
        <w:autoSpaceDN/>
        <w:bidi w:val="0"/>
        <w:adjustRightInd w:val="0"/>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在安溪县龙门镇政府，周祖翼察看了便民服务中心，了解“高效办成一件事”、自助政务服务及减轻基层负担等工作情况，并与乡镇干部代表座谈交流，听取大家对开展树立和践行正确政绩观学习教育、换届工作的意见建议。周祖翼说，乡镇是最基层的政权组织，承上启下，至关重要。要结合开展学习教育，扎实推进乡村全面振兴和城乡融合发展，持续整治形式主义为基层减负，不折不扣落实好履职清单，做到为人民出政绩、以实干出政绩。要高质量做好换届各项工作，把好干部选出来、用起来，激发干事创业精气神。周祖翼还来到安溪县金谷镇金谷村，实地了解金谷溪岸项目和农文旅融合业态，希望当地立足资源禀赋，将传统村落与现代艺术相融合，发展特色富民产业，引导村民就近就业创业、拓宽增收渠道、丰富精神生活，打造宜居宜业和美乡村。</w:t>
      </w:r>
    </w:p>
    <w:p>
      <w:pPr>
        <w:keepNext w:val="0"/>
        <w:keepLines w:val="0"/>
        <w:pageBreakBefore w:val="0"/>
        <w:widowControl w:val="0"/>
        <w:kinsoku/>
        <w:wordWrap/>
        <w:overflowPunct/>
        <w:topLinePunct w:val="0"/>
        <w:autoSpaceDE/>
        <w:autoSpaceDN/>
        <w:bidi w:val="0"/>
        <w:adjustRightInd/>
        <w:snapToGrid/>
        <w:ind w:left="0" w:leftChars="0" w:firstLine="440" w:firstLineChars="200"/>
        <w:textAlignment w:val="auto"/>
        <w:outlineLvl w:val="9"/>
        <w:rPr>
          <w:rFonts w:hint="eastAsia"/>
          <w:kern w:val="0"/>
          <w:lang w:val="en-US" w:eastAsia="zh-CN"/>
        </w:rPr>
      </w:pPr>
      <w:r>
        <w:rPr>
          <w:rFonts w:hint="eastAsia"/>
          <w:kern w:val="0"/>
          <w:lang w:val="en-US" w:eastAsia="zh-CN"/>
        </w:rPr>
        <w:t>副省长王金福参加。</w:t>
      </w:r>
    </w:p>
    <w:p>
      <w:pPr>
        <w:keepNext w:val="0"/>
        <w:keepLines w:val="0"/>
        <w:pageBreakBefore w:val="0"/>
        <w:widowControl w:val="0"/>
        <w:kinsoku/>
        <w:wordWrap/>
        <w:overflowPunct/>
        <w:topLinePunct w:val="0"/>
        <w:autoSpaceDE/>
        <w:autoSpaceDN/>
        <w:bidi w:val="0"/>
        <w:adjustRightInd/>
        <w:snapToGrid/>
        <w:ind w:left="0" w:leftChars="0" w:firstLine="440" w:firstLineChars="200"/>
        <w:textAlignment w:val="auto"/>
        <w:outlineLvl w:val="9"/>
        <w:rPr>
          <w:rFonts w:hint="eastAsia"/>
          <w:lang w:val="en-US" w:eastAsia="zh-CN"/>
        </w:rPr>
        <w:sectPr>
          <w:pgSz w:w="11907" w:h="16840"/>
          <w:pgMar w:top="1440" w:right="1644" w:bottom="1440" w:left="1701" w:header="851" w:footer="992" w:gutter="0"/>
          <w:cols w:space="425" w:num="1"/>
          <w:docGrid w:type="lines" w:linePitch="312" w:charSpace="0"/>
        </w:sectPr>
      </w:pPr>
      <w:r>
        <w:rPr>
          <w:rFonts w:hint="eastAsia"/>
          <w:lang w:val="en-US" w:eastAsia="zh-CN"/>
        </w:rPr>
        <w:t>（来源：新福建）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福建省人民代表大会常务委员会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kern w:val="0"/>
          <w:lang w:val="en-US" w:eastAsia="zh-CN"/>
        </w:rPr>
      </w:pPr>
      <w:r>
        <w:rPr>
          <w:rFonts w:hint="eastAsia" w:ascii="微软雅黑" w:hAnsi="微软雅黑" w:eastAsia="微软雅黑" w:cs="微软雅黑"/>
          <w:b/>
          <w:i w:val="0"/>
          <w:caps w:val="0"/>
          <w:spacing w:val="8"/>
          <w:sz w:val="33"/>
          <w:szCs w:val="33"/>
          <w:shd w:val="clear" w:fill="FFFFFF"/>
          <w:lang w:val="en-US" w:eastAsia="zh-CN"/>
        </w:rPr>
        <w:t>关于批准《泉州市传承弘扬创新发展“晋江经验”条例》的</w:t>
      </w:r>
      <w:bookmarkStart w:id="14" w:name="_GoBack"/>
      <w:bookmarkEnd w:id="14"/>
      <w:r>
        <w:rPr>
          <w:rFonts w:hint="eastAsia" w:ascii="微软雅黑" w:hAnsi="微软雅黑" w:eastAsia="微软雅黑" w:cs="微软雅黑"/>
          <w:b/>
          <w:i w:val="0"/>
          <w:caps w:val="0"/>
          <w:spacing w:val="8"/>
          <w:sz w:val="33"/>
          <w:szCs w:val="33"/>
          <w:shd w:val="clear" w:fill="FFFFFF"/>
          <w:lang w:val="en-US" w:eastAsia="zh-CN"/>
        </w:rPr>
        <w:t>决定</w:t>
      </w:r>
    </w:p>
    <w:p>
      <w:pPr>
        <w:spacing w:line="320" w:lineRule="exact"/>
        <w:rPr>
          <w:rFonts w:hint="eastAsia"/>
          <w:kern w:val="0"/>
          <w:lang w:val="en-US" w:eastAsia="zh-CN"/>
        </w:rPr>
      </w:pPr>
      <w:r>
        <w:rPr>
          <w:rFonts w:hint="eastAsia"/>
          <w:kern w:val="0"/>
          <w:lang w:val="en-US" w:eastAsia="zh-CN"/>
        </w:rPr>
        <w:t>（2026年5月26日福建省第十四届人民代表大会常务委员会第二十二次会议通过）</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福建省第十四届人民代表大会常务委员会第二十二次会议对泉州市人民代表大会常务委员会报请批准的《泉州市传承弘扬创新发展“晋江经验”条例》进行了审查，认为其与上位法没有抵触，决定予以批准，由泉州市人民代表大会常务委员会颁布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28"/>
          <w:szCs w:val="28"/>
          <w:shd w:val="clear" w:fill="FFFFFF"/>
          <w:lang w:val="en-US" w:eastAsia="zh-CN"/>
        </w:rPr>
      </w:pPr>
      <w:r>
        <w:rPr>
          <w:rFonts w:hint="eastAsia" w:ascii="微软雅黑" w:hAnsi="微软雅黑" w:eastAsia="微软雅黑" w:cs="微软雅黑"/>
          <w:b/>
          <w:i w:val="0"/>
          <w:caps w:val="0"/>
          <w:spacing w:val="8"/>
          <w:sz w:val="28"/>
          <w:szCs w:val="28"/>
          <w:shd w:val="clear" w:fill="FFFFFF"/>
          <w:lang w:val="en-US" w:eastAsia="zh-CN"/>
        </w:rPr>
        <w:t>泉州市人民代表大会常务委员会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28"/>
          <w:szCs w:val="28"/>
          <w:shd w:val="clear" w:fill="FFFFFF"/>
          <w:lang w:val="en-US" w:eastAsia="zh-CN"/>
        </w:rPr>
      </w:pPr>
      <w:r>
        <w:rPr>
          <w:rFonts w:hint="eastAsia" w:ascii="微软雅黑" w:hAnsi="微软雅黑" w:eastAsia="微软雅黑" w:cs="微软雅黑"/>
          <w:b/>
          <w:i w:val="0"/>
          <w:caps w:val="0"/>
          <w:spacing w:val="8"/>
          <w:sz w:val="28"/>
          <w:szCs w:val="28"/>
          <w:shd w:val="clear" w:fill="FFFFFF"/>
          <w:lang w:val="en-US" w:eastAsia="zh-CN"/>
        </w:rPr>
        <w:t>公  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28"/>
          <w:szCs w:val="28"/>
          <w:shd w:val="clear" w:fill="FFFFFF"/>
          <w:lang w:val="en-US" w:eastAsia="zh-CN"/>
        </w:rPr>
      </w:pPr>
      <w:r>
        <w:rPr>
          <w:rFonts w:hint="eastAsia" w:ascii="微软雅黑" w:hAnsi="微软雅黑" w:eastAsia="微软雅黑" w:cs="微软雅黑"/>
          <w:b/>
          <w:i w:val="0"/>
          <w:caps w:val="0"/>
          <w:spacing w:val="8"/>
          <w:sz w:val="28"/>
          <w:szCs w:val="28"/>
          <w:shd w:val="clear" w:fill="FFFFFF"/>
          <w:lang w:val="en-US" w:eastAsia="zh-CN"/>
        </w:rPr>
        <w:t>[十七届]第十号</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泉州市传承弘扬创新发展“晋江经验”条例》于2026年4月29日经泉州市第十七届人民代表大会常务委员会第三十八次会议通过,于2026年5月26日经福建省第十四届人民代表大会常务委员会第二十二次会议批准，现予公布，自2026年8月20日起施行。</w:t>
      </w:r>
    </w:p>
    <w:p>
      <w:pPr>
        <w:spacing w:line="320" w:lineRule="exact"/>
        <w:rPr>
          <w:rFonts w:hint="eastAsia"/>
          <w:kern w:val="0"/>
          <w:lang w:val="en-US" w:eastAsia="zh-CN"/>
        </w:rPr>
      </w:pPr>
    </w:p>
    <w:p>
      <w:pPr>
        <w:spacing w:line="320" w:lineRule="exact"/>
        <w:jc w:val="right"/>
        <w:rPr>
          <w:rFonts w:hint="eastAsia"/>
          <w:kern w:val="0"/>
          <w:lang w:val="en-US" w:eastAsia="zh-CN"/>
        </w:rPr>
      </w:pPr>
      <w:r>
        <w:rPr>
          <w:rFonts w:hint="eastAsia"/>
          <w:kern w:val="0"/>
          <w:lang w:val="en-US" w:eastAsia="zh-CN"/>
        </w:rPr>
        <w:t>泉州市人民代表大会常务委员会</w:t>
      </w:r>
    </w:p>
    <w:p>
      <w:pPr>
        <w:spacing w:line="320" w:lineRule="exact"/>
        <w:jc w:val="right"/>
        <w:rPr>
          <w:rFonts w:hint="eastAsia"/>
          <w:kern w:val="0"/>
          <w:lang w:val="en-US" w:eastAsia="zh-CN"/>
        </w:rPr>
      </w:pPr>
      <w:r>
        <w:rPr>
          <w:rFonts w:hint="eastAsia"/>
          <w:kern w:val="0"/>
          <w:lang w:val="en-US" w:eastAsia="zh-CN"/>
        </w:rPr>
        <w:t>2026年5月29日  </w:t>
      </w:r>
    </w:p>
    <w:p>
      <w:pPr>
        <w:pStyle w:val="16"/>
        <w:keepNext w:val="0"/>
        <w:keepLines w:val="0"/>
        <w:widowControl/>
        <w:suppressLineNumbers w:val="0"/>
        <w:spacing w:after="225" w:afterAutospacing="0" w:line="30" w:lineRule="atLeast"/>
        <w:ind w:left="0" w:firstLine="420"/>
      </w:pPr>
    </w:p>
    <w:p>
      <w:pPr>
        <w:spacing w:line="320" w:lineRule="exact"/>
        <w:rPr>
          <w:rFonts w:hint="eastAsia"/>
          <w:kern w:val="0"/>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28"/>
          <w:szCs w:val="28"/>
          <w:shd w:val="clear" w:fill="FFFFFF"/>
          <w:lang w:val="en-US" w:eastAsia="zh-CN"/>
        </w:rPr>
      </w:pPr>
      <w:r>
        <w:rPr>
          <w:rFonts w:hint="eastAsia" w:ascii="微软雅黑" w:hAnsi="微软雅黑" w:eastAsia="微软雅黑" w:cs="微软雅黑"/>
          <w:b/>
          <w:i w:val="0"/>
          <w:caps w:val="0"/>
          <w:spacing w:val="8"/>
          <w:sz w:val="28"/>
          <w:szCs w:val="28"/>
          <w:shd w:val="clear" w:fill="FFFFFF"/>
          <w:lang w:val="en-US" w:eastAsia="zh-CN"/>
        </w:rPr>
        <w:t>泉州市传承弘扬创新发展“晋江经验”条例</w:t>
      </w:r>
    </w:p>
    <w:p>
      <w:pPr>
        <w:spacing w:line="320" w:lineRule="exact"/>
        <w:jc w:val="center"/>
        <w:rPr>
          <w:rFonts w:hint="eastAsia"/>
          <w:kern w:val="0"/>
          <w:lang w:val="en-US" w:eastAsia="zh-CN"/>
        </w:rPr>
      </w:pPr>
      <w:r>
        <w:rPr>
          <w:rFonts w:hint="eastAsia"/>
          <w:kern w:val="0"/>
          <w:lang w:val="en-US" w:eastAsia="zh-CN"/>
        </w:rPr>
        <w:t>（2026年4月29日泉州市第十七届人民代表大会常务委员会第三十八次会议通过）</w:t>
      </w:r>
    </w:p>
    <w:p>
      <w:pPr>
        <w:spacing w:line="320" w:lineRule="exact"/>
        <w:jc w:val="center"/>
        <w:rPr>
          <w:rFonts w:hint="eastAsia"/>
          <w:kern w:val="0"/>
          <w:lang w:val="en-US" w:eastAsia="zh-CN"/>
        </w:rPr>
      </w:pPr>
      <w:r>
        <w:rPr>
          <w:rFonts w:hint="eastAsia"/>
          <w:kern w:val="0"/>
          <w:lang w:val="en-US" w:eastAsia="zh-CN"/>
        </w:rPr>
        <w:t>（2026年5月26日福建省第十四届人民代表大会常务委员会第二十二次会议批准）</w:t>
      </w:r>
    </w:p>
    <w:p>
      <w:pPr>
        <w:spacing w:line="320" w:lineRule="exact"/>
        <w:jc w:val="center"/>
        <w:rPr>
          <w:rFonts w:hint="eastAsia"/>
          <w:kern w:val="0"/>
          <w:lang w:val="en-US" w:eastAsia="zh-CN"/>
        </w:rPr>
      </w:pPr>
    </w:p>
    <w:p>
      <w:pPr>
        <w:spacing w:line="320" w:lineRule="exact"/>
        <w:jc w:val="center"/>
        <w:rPr>
          <w:rFonts w:hint="eastAsia"/>
          <w:kern w:val="0"/>
          <w:lang w:val="en-US" w:eastAsia="zh-CN"/>
        </w:rPr>
      </w:pPr>
      <w:r>
        <w:rPr>
          <w:rFonts w:hint="eastAsia"/>
          <w:kern w:val="0"/>
          <w:lang w:val="en-US" w:eastAsia="zh-CN"/>
        </w:rPr>
        <w:t>目  录</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第一章  总则</w:t>
      </w:r>
    </w:p>
    <w:p>
      <w:pPr>
        <w:spacing w:line="320" w:lineRule="exact"/>
        <w:rPr>
          <w:rFonts w:hint="eastAsia"/>
          <w:kern w:val="0"/>
          <w:lang w:val="en-US" w:eastAsia="zh-CN"/>
        </w:rPr>
      </w:pPr>
      <w:r>
        <w:rPr>
          <w:rFonts w:hint="eastAsia"/>
          <w:kern w:val="0"/>
          <w:lang w:val="en-US" w:eastAsia="zh-CN"/>
        </w:rPr>
        <w:t>第二章  资源要素配置</w:t>
      </w:r>
    </w:p>
    <w:p>
      <w:pPr>
        <w:spacing w:line="320" w:lineRule="exact"/>
        <w:rPr>
          <w:rFonts w:hint="eastAsia"/>
          <w:kern w:val="0"/>
          <w:lang w:val="en-US" w:eastAsia="zh-CN"/>
        </w:rPr>
      </w:pPr>
      <w:r>
        <w:rPr>
          <w:rFonts w:hint="eastAsia"/>
          <w:kern w:val="0"/>
          <w:lang w:val="en-US" w:eastAsia="zh-CN"/>
        </w:rPr>
        <w:t>第三章  企业融通发展</w:t>
      </w:r>
    </w:p>
    <w:p>
      <w:pPr>
        <w:spacing w:line="320" w:lineRule="exact"/>
        <w:rPr>
          <w:rFonts w:hint="eastAsia"/>
          <w:kern w:val="0"/>
          <w:lang w:val="en-US" w:eastAsia="zh-CN"/>
        </w:rPr>
      </w:pPr>
      <w:r>
        <w:rPr>
          <w:rFonts w:hint="eastAsia"/>
          <w:kern w:val="0"/>
          <w:lang w:val="en-US" w:eastAsia="zh-CN"/>
        </w:rPr>
        <w:t>第四章  产业科技创新</w:t>
      </w:r>
    </w:p>
    <w:p>
      <w:pPr>
        <w:spacing w:line="320" w:lineRule="exact"/>
        <w:rPr>
          <w:rFonts w:hint="eastAsia"/>
          <w:kern w:val="0"/>
          <w:lang w:val="en-US" w:eastAsia="zh-CN"/>
        </w:rPr>
      </w:pPr>
      <w:r>
        <w:rPr>
          <w:rFonts w:hint="eastAsia"/>
          <w:kern w:val="0"/>
          <w:lang w:val="en-US" w:eastAsia="zh-CN"/>
        </w:rPr>
        <w:t>第五章  产城融合发展</w:t>
      </w:r>
    </w:p>
    <w:p>
      <w:pPr>
        <w:spacing w:line="320" w:lineRule="exact"/>
        <w:rPr>
          <w:rFonts w:hint="eastAsia"/>
          <w:kern w:val="0"/>
          <w:lang w:val="en-US" w:eastAsia="zh-CN"/>
        </w:rPr>
      </w:pPr>
      <w:r>
        <w:rPr>
          <w:rFonts w:hint="eastAsia"/>
          <w:kern w:val="0"/>
          <w:lang w:val="en-US" w:eastAsia="zh-CN"/>
        </w:rPr>
        <w:t>第六章  政府服务保障</w:t>
      </w:r>
    </w:p>
    <w:p>
      <w:pPr>
        <w:spacing w:line="320" w:lineRule="exact"/>
        <w:rPr>
          <w:rFonts w:hint="eastAsia"/>
          <w:kern w:val="0"/>
          <w:lang w:val="en-US" w:eastAsia="zh-CN"/>
        </w:rPr>
      </w:pPr>
      <w:r>
        <w:rPr>
          <w:rFonts w:hint="eastAsia"/>
          <w:kern w:val="0"/>
          <w:lang w:val="en-US" w:eastAsia="zh-CN"/>
        </w:rPr>
        <w:t>第七章  附则</w:t>
      </w:r>
    </w:p>
    <w:p>
      <w:pPr>
        <w:spacing w:line="320" w:lineRule="exact"/>
        <w:ind w:left="0" w:leftChars="0" w:firstLine="0" w:firstLineChars="0"/>
        <w:rPr>
          <w:rFonts w:hint="eastAsia"/>
          <w:kern w:val="0"/>
          <w:lang w:val="en-US" w:eastAsia="zh-CN"/>
        </w:rPr>
      </w:pPr>
      <w:r>
        <w:rPr>
          <w:rFonts w:hint="eastAsia"/>
          <w:kern w:val="0"/>
          <w:lang w:val="en-US" w:eastAsia="zh-CN"/>
        </w:rPr>
        <w:br w:type="textWrapping"/>
      </w:r>
      <w:r>
        <w:rPr>
          <w:rFonts w:hint="eastAsia"/>
          <w:kern w:val="0"/>
          <w:lang w:val="en-US" w:eastAsia="zh-CN"/>
        </w:rPr>
        <w:t>第一章 总 则</w:t>
      </w:r>
    </w:p>
    <w:p>
      <w:pPr>
        <w:spacing w:line="320" w:lineRule="exact"/>
        <w:rPr>
          <w:rFonts w:hint="eastAsia"/>
          <w:kern w:val="0"/>
          <w:lang w:val="en-US" w:eastAsia="zh-CN"/>
        </w:rPr>
      </w:pPr>
      <w:r>
        <w:rPr>
          <w:rFonts w:hint="eastAsia"/>
          <w:kern w:val="0"/>
          <w:lang w:val="en-US" w:eastAsia="zh-CN"/>
        </w:rPr>
        <w:t>第一条  为了传承弘扬、创新发展“晋江经验”，优化民营经济发展环境，推动泉州高质量发展，根据有关法律、法规，结合本市实际，制定本条例。</w:t>
      </w:r>
    </w:p>
    <w:p>
      <w:pPr>
        <w:spacing w:line="320" w:lineRule="exact"/>
        <w:rPr>
          <w:rFonts w:hint="eastAsia"/>
          <w:kern w:val="0"/>
          <w:lang w:val="en-US" w:eastAsia="zh-CN"/>
        </w:rPr>
      </w:pPr>
      <w:r>
        <w:rPr>
          <w:rFonts w:hint="eastAsia"/>
          <w:kern w:val="0"/>
          <w:lang w:val="en-US" w:eastAsia="zh-CN"/>
        </w:rPr>
        <w:t>第二条  本市行政区域内传承弘扬、创新发展“晋江经验”，适用本条例。</w:t>
      </w:r>
    </w:p>
    <w:p>
      <w:pPr>
        <w:spacing w:line="320" w:lineRule="exact"/>
        <w:rPr>
          <w:rFonts w:hint="eastAsia"/>
          <w:kern w:val="0"/>
          <w:lang w:val="en-US" w:eastAsia="zh-CN"/>
        </w:rPr>
      </w:pPr>
      <w:r>
        <w:rPr>
          <w:rFonts w:hint="eastAsia"/>
          <w:kern w:val="0"/>
          <w:lang w:val="en-US" w:eastAsia="zh-CN"/>
        </w:rPr>
        <w:t>第三条  传承弘扬、创新发展“晋江经验”，应当坚持中国共产党的领导，坚持以人民为中心，完整准确全面贯彻新发展理念，服务和融入新发展格局，把握“晋江经验”的时代内涵，把“六个始终坚持”“正确处理好五大关系”贯穿发展的全过程，紧紧咬住实体经济发展不放松。</w:t>
      </w:r>
    </w:p>
    <w:p>
      <w:pPr>
        <w:spacing w:line="320" w:lineRule="exact"/>
        <w:rPr>
          <w:rFonts w:hint="eastAsia"/>
          <w:kern w:val="0"/>
          <w:lang w:val="en-US" w:eastAsia="zh-CN"/>
        </w:rPr>
      </w:pPr>
      <w:r>
        <w:rPr>
          <w:rFonts w:hint="eastAsia"/>
          <w:kern w:val="0"/>
          <w:lang w:val="en-US" w:eastAsia="zh-CN"/>
        </w:rPr>
        <w:t>“六个始终坚持”，是指始终坚持以发展社会生产力为改革和发展的根本方向；始终坚持以市场为导向发展经济；始终坚持在顽强拼搏中取胜；始终坚持以诚信促进市场经济的健康发展；始终坚持立足本地优势和选择符合自身条件的最佳方式加快经济发展；始终坚持加强政府对市场经济发展的引导和服务。</w:t>
      </w:r>
    </w:p>
    <w:p>
      <w:pPr>
        <w:spacing w:line="320" w:lineRule="exact"/>
        <w:rPr>
          <w:rFonts w:hint="eastAsia"/>
          <w:kern w:val="0"/>
          <w:lang w:val="en-US" w:eastAsia="zh-CN"/>
        </w:rPr>
      </w:pPr>
      <w:r>
        <w:rPr>
          <w:rFonts w:hint="eastAsia"/>
          <w:kern w:val="0"/>
          <w:lang w:val="en-US" w:eastAsia="zh-CN"/>
        </w:rPr>
        <w:t>“正确处理好五大关系”，是指正确处理好有形通道和无形通道的关系；正确处理好发展中小企业和大企业之间的关系；正确处理好发展高新技术产业和传统产业的关系；正确处理好工业化和城市化的关系；正确处理好发展市场经济与建设新型服务型政府之间的关系。</w:t>
      </w:r>
    </w:p>
    <w:p>
      <w:pPr>
        <w:spacing w:line="320" w:lineRule="exact"/>
        <w:rPr>
          <w:rFonts w:hint="eastAsia"/>
          <w:kern w:val="0"/>
          <w:lang w:val="en-US" w:eastAsia="zh-CN"/>
        </w:rPr>
      </w:pPr>
      <w:r>
        <w:rPr>
          <w:rFonts w:hint="eastAsia"/>
          <w:kern w:val="0"/>
          <w:lang w:val="en-US" w:eastAsia="zh-CN"/>
        </w:rPr>
        <w:t>第四条  传承弘扬、创新发展“晋江经验”，应当引导全社会深入践行社会主义核心价值观，诚信谦恭，团结拼搏，开拓创新，营造干部敢为、地方敢闯、企业敢干、群众敢首创的氛围。</w:t>
      </w:r>
    </w:p>
    <w:p>
      <w:pPr>
        <w:spacing w:line="320" w:lineRule="exact"/>
        <w:rPr>
          <w:rFonts w:hint="eastAsia"/>
          <w:kern w:val="0"/>
          <w:lang w:val="en-US" w:eastAsia="zh-CN"/>
        </w:rPr>
      </w:pPr>
      <w:r>
        <w:rPr>
          <w:rFonts w:hint="eastAsia"/>
          <w:kern w:val="0"/>
          <w:lang w:val="en-US" w:eastAsia="zh-CN"/>
        </w:rPr>
        <w:t>传承弘扬、创新发展“晋江经验”，应当引导企业家发扬“敢为天下先、爱拼才会赢”的精神特质，坚守主业，心无旁骛做实业，增强爱国情怀、勇于创新、诚信守法、承担社会责任、拓展国际视野，加强代际传承，不断激发创新活力和创造潜能。</w:t>
      </w:r>
    </w:p>
    <w:p>
      <w:pPr>
        <w:spacing w:line="320" w:lineRule="exact"/>
        <w:rPr>
          <w:rFonts w:hint="eastAsia"/>
          <w:kern w:val="0"/>
          <w:lang w:val="en-US" w:eastAsia="zh-CN"/>
        </w:rPr>
      </w:pPr>
      <w:r>
        <w:rPr>
          <w:rFonts w:hint="eastAsia"/>
          <w:kern w:val="0"/>
          <w:lang w:val="en-US" w:eastAsia="zh-CN"/>
        </w:rPr>
        <w:t>第五条  市、县（市、区）人民政府统筹领导传承弘扬、创新发展“晋江经验”的相关工作，将其纳入国民经济和社会发展规划，建立工作协调机制，制定完善政策措施，协调解决重大问题。</w:t>
      </w:r>
    </w:p>
    <w:p>
      <w:pPr>
        <w:spacing w:line="320" w:lineRule="exact"/>
        <w:rPr>
          <w:rFonts w:hint="eastAsia"/>
          <w:kern w:val="0"/>
          <w:lang w:val="en-US" w:eastAsia="zh-CN"/>
        </w:rPr>
      </w:pPr>
      <w:r>
        <w:rPr>
          <w:rFonts w:hint="eastAsia"/>
          <w:kern w:val="0"/>
          <w:lang w:val="en-US" w:eastAsia="zh-CN"/>
        </w:rPr>
        <w:t>市、县（市、区）人民政府发展改革部门具体负责传承弘扬、创新发展“晋江经验”的协调推进和监督指导工作。市、县（市、区）人民政府其他有关部门以及国家、省派驻本市的机构按照各自职责共同做好传承弘扬、创新发展“晋江经验”的相关工作。</w:t>
      </w:r>
    </w:p>
    <w:p>
      <w:pPr>
        <w:spacing w:line="320" w:lineRule="exact"/>
        <w:rPr>
          <w:rFonts w:hint="eastAsia"/>
          <w:kern w:val="0"/>
          <w:lang w:val="en-US" w:eastAsia="zh-CN"/>
        </w:rPr>
      </w:pPr>
      <w:r>
        <w:rPr>
          <w:rFonts w:hint="eastAsia"/>
          <w:kern w:val="0"/>
          <w:lang w:val="en-US" w:eastAsia="zh-CN"/>
        </w:rPr>
        <w:t>乡镇人民政府（街道办事处）应当按照职责，做好传承弘扬、创新发展“晋江经验”的相关工作。</w:t>
      </w:r>
    </w:p>
    <w:p>
      <w:pPr>
        <w:spacing w:line="320" w:lineRule="exact"/>
        <w:rPr>
          <w:rFonts w:hint="eastAsia"/>
          <w:kern w:val="0"/>
          <w:lang w:val="en-US" w:eastAsia="zh-CN"/>
        </w:rPr>
      </w:pPr>
      <w:r>
        <w:rPr>
          <w:rFonts w:hint="eastAsia"/>
          <w:kern w:val="0"/>
          <w:lang w:val="en-US" w:eastAsia="zh-CN"/>
        </w:rPr>
        <w:t>第六条  鼓励、支持民营经济组织、基层群众性自治组织、行业协会、商会、高等学校、科研机构和个人等社会力量参与传承弘扬、创新发展“晋江经验”的相关活动。</w:t>
      </w:r>
    </w:p>
    <w:p>
      <w:pPr>
        <w:spacing w:line="320" w:lineRule="exact"/>
        <w:rPr>
          <w:rFonts w:hint="eastAsia"/>
          <w:kern w:val="0"/>
          <w:lang w:val="en-US" w:eastAsia="zh-CN"/>
        </w:rPr>
      </w:pPr>
      <w:r>
        <w:rPr>
          <w:rFonts w:hint="eastAsia"/>
          <w:kern w:val="0"/>
          <w:lang w:val="en-US" w:eastAsia="zh-CN"/>
        </w:rPr>
        <w:t>第七条  发挥全国著名侨乡和台胞主要祖籍地优势，鼓励、支持华人华侨、台港澳同胞参与传承弘扬、创新发展“晋江经验”的相关活动，弘扬爱国爱乡、回馈桑梓的优良传统。</w:t>
      </w:r>
    </w:p>
    <w:p>
      <w:pPr>
        <w:spacing w:line="320" w:lineRule="exact"/>
        <w:rPr>
          <w:rFonts w:hint="eastAsia"/>
          <w:kern w:val="0"/>
          <w:lang w:val="en-US" w:eastAsia="zh-CN"/>
        </w:rPr>
      </w:pPr>
      <w:r>
        <w:rPr>
          <w:rFonts w:hint="eastAsia"/>
          <w:kern w:val="0"/>
          <w:lang w:val="en-US" w:eastAsia="zh-CN"/>
        </w:rPr>
        <w:t>第八条  市、县（市、区）人民政府应当通过多种形式，系统宣传“晋江经验”的历史渊源、核心内涵、时代价值和实践要求，推动成熟经验转化为可复制、可推广的制度成果。</w:t>
      </w:r>
    </w:p>
    <w:p>
      <w:pPr>
        <w:spacing w:line="320" w:lineRule="exact"/>
        <w:rPr>
          <w:rFonts w:hint="eastAsia"/>
          <w:kern w:val="0"/>
          <w:lang w:val="en-US" w:eastAsia="zh-CN"/>
        </w:rPr>
      </w:pPr>
      <w:r>
        <w:rPr>
          <w:rFonts w:hint="eastAsia"/>
          <w:kern w:val="0"/>
          <w:lang w:val="en-US" w:eastAsia="zh-CN"/>
        </w:rPr>
        <w:t>宣传、党史、文化、档案等部门和社科联、干部教育培训机构、高等学校等单位应当组织开展“晋江经验”理论研究、宣讲阐释、对外交流，加强文献档案资料收集整理，推动研究成果转化运用。干部教育培训机构应当将“晋江经验”纳入主体班次教学计划，组织开展教学活动。</w:t>
      </w:r>
    </w:p>
    <w:p>
      <w:pPr>
        <w:spacing w:line="320" w:lineRule="exact"/>
        <w:rPr>
          <w:rFonts w:hint="eastAsia"/>
          <w:kern w:val="0"/>
          <w:lang w:val="en-US" w:eastAsia="zh-CN"/>
        </w:rPr>
      </w:pPr>
      <w:r>
        <w:rPr>
          <w:rFonts w:hint="eastAsia"/>
          <w:kern w:val="0"/>
          <w:lang w:val="en-US" w:eastAsia="zh-CN"/>
        </w:rPr>
        <w:t>广播、电视、报刊、网络等应当加强对传承弘扬、创新发展“晋江经验”先进事迹和典型案例的宣传报道。</w:t>
      </w:r>
    </w:p>
    <w:p>
      <w:pPr>
        <w:spacing w:line="320" w:lineRule="exact"/>
        <w:rPr>
          <w:rFonts w:hint="eastAsia"/>
          <w:kern w:val="0"/>
          <w:lang w:val="en-US" w:eastAsia="zh-CN"/>
        </w:rPr>
      </w:pPr>
      <w:r>
        <w:rPr>
          <w:rFonts w:hint="eastAsia"/>
          <w:kern w:val="0"/>
          <w:lang w:val="en-US" w:eastAsia="zh-CN"/>
        </w:rPr>
        <w:t>鼓励行业协会、商会等收集、梳理、交流民营经济组织践行“晋江经验”的创新案例和成长故事。鼓励、支持以“晋江经验”为题材开展文学、影视等文艺创作。</w:t>
      </w:r>
    </w:p>
    <w:p>
      <w:pPr>
        <w:spacing w:line="320" w:lineRule="exact"/>
        <w:rPr>
          <w:rFonts w:hint="eastAsia"/>
          <w:kern w:val="0"/>
          <w:lang w:val="en-US" w:eastAsia="zh-CN"/>
        </w:rPr>
      </w:pPr>
      <w:r>
        <w:rPr>
          <w:rFonts w:hint="eastAsia"/>
          <w:kern w:val="0"/>
          <w:lang w:val="en-US" w:eastAsia="zh-CN"/>
        </w:rPr>
        <w:br w:type="textWrapping"/>
      </w:r>
      <w:r>
        <w:rPr>
          <w:rFonts w:hint="eastAsia"/>
          <w:kern w:val="0"/>
          <w:lang w:val="en-US" w:eastAsia="zh-CN"/>
        </w:rPr>
        <w:t>第二章 资源要素配置</w:t>
      </w:r>
    </w:p>
    <w:p>
      <w:pPr>
        <w:spacing w:line="320" w:lineRule="exact"/>
        <w:rPr>
          <w:rFonts w:hint="eastAsia"/>
          <w:kern w:val="0"/>
          <w:lang w:val="en-US" w:eastAsia="zh-CN"/>
        </w:rPr>
      </w:pPr>
      <w:r>
        <w:rPr>
          <w:rFonts w:hint="eastAsia"/>
          <w:kern w:val="0"/>
          <w:lang w:val="en-US" w:eastAsia="zh-CN"/>
        </w:rPr>
        <w:t>第九条  传承弘扬、创新发展“晋江经验”，应当深度融入和服务全国统一大市场建设，推进要素市场化配置综合改革，推动各类资源要素高效配置、经营主体公平竞争、市场潜力充分释放。</w:t>
      </w:r>
    </w:p>
    <w:p>
      <w:pPr>
        <w:spacing w:line="320" w:lineRule="exact"/>
        <w:rPr>
          <w:rFonts w:hint="eastAsia"/>
          <w:kern w:val="0"/>
          <w:lang w:val="en-US" w:eastAsia="zh-CN"/>
        </w:rPr>
      </w:pPr>
      <w:r>
        <w:rPr>
          <w:rFonts w:hint="eastAsia"/>
          <w:kern w:val="0"/>
          <w:lang w:val="en-US" w:eastAsia="zh-CN"/>
        </w:rPr>
        <w:t>第十条  市、县（市、区）人民政府及其有关部门应当建立健全技术、土地、人力资源、数据、资本等各类资源要素公平配置机制，不得设置歧视性市场准入条件，保障包括民营经济组织在内的各类经济组织依法平等获取资源要素。</w:t>
      </w:r>
    </w:p>
    <w:p>
      <w:pPr>
        <w:spacing w:line="320" w:lineRule="exact"/>
        <w:rPr>
          <w:rFonts w:hint="eastAsia"/>
          <w:kern w:val="0"/>
          <w:lang w:val="en-US" w:eastAsia="zh-CN"/>
        </w:rPr>
      </w:pPr>
      <w:r>
        <w:rPr>
          <w:rFonts w:hint="eastAsia"/>
          <w:kern w:val="0"/>
          <w:lang w:val="en-US" w:eastAsia="zh-CN"/>
        </w:rPr>
        <w:t>市、县（市、区）人民政府及其有关部门应当建立健全工作机制，落实全国统一的市场准入负面清单制度，及时排查、整治违背市场准入负面清单制度的行为。</w:t>
      </w:r>
    </w:p>
    <w:p>
      <w:pPr>
        <w:spacing w:line="320" w:lineRule="exact"/>
        <w:rPr>
          <w:rFonts w:hint="eastAsia"/>
          <w:kern w:val="0"/>
          <w:lang w:val="en-US" w:eastAsia="zh-CN"/>
        </w:rPr>
      </w:pPr>
      <w:r>
        <w:rPr>
          <w:rFonts w:hint="eastAsia"/>
          <w:kern w:val="0"/>
          <w:lang w:val="en-US" w:eastAsia="zh-CN"/>
        </w:rPr>
        <w:t>市、县（市、区）人民政府及其有关部门落实公平竞争审查制度，制定涉及经营主体生产经营活动的政策措施应当经过公平竞争审查，并定期评估，及时清理、废除含有妨碍全国统一市场和公平竞争内容的政策措施，保障民营经济组织公平参与市场竞争。</w:t>
      </w:r>
    </w:p>
    <w:p>
      <w:pPr>
        <w:spacing w:line="320" w:lineRule="exact"/>
        <w:rPr>
          <w:rFonts w:hint="eastAsia"/>
          <w:kern w:val="0"/>
          <w:lang w:val="en-US" w:eastAsia="zh-CN"/>
        </w:rPr>
      </w:pPr>
      <w:r>
        <w:rPr>
          <w:rFonts w:hint="eastAsia"/>
          <w:kern w:val="0"/>
          <w:lang w:val="en-US" w:eastAsia="zh-CN"/>
        </w:rPr>
        <w:t>第十一条  科技等有关部门应当构建统一开放、竞争有序的技术要素市场，建立健全集供需对接、技术评估、技术交易等功能于一体的技术转移转化服务平台。</w:t>
      </w:r>
    </w:p>
    <w:p>
      <w:pPr>
        <w:spacing w:line="320" w:lineRule="exact"/>
        <w:rPr>
          <w:rFonts w:hint="eastAsia"/>
          <w:kern w:val="0"/>
          <w:lang w:val="en-US" w:eastAsia="zh-CN"/>
        </w:rPr>
      </w:pPr>
      <w:r>
        <w:rPr>
          <w:rFonts w:hint="eastAsia"/>
          <w:kern w:val="0"/>
          <w:lang w:val="en-US" w:eastAsia="zh-CN"/>
        </w:rPr>
        <w:t>科技等有关部门应当完善科技创新资源开放共享机制，推动高等学校、科研机构的重大科研基础设施、大型科研仪器设备向民营经济组织开放共享。利用财政性资金建设的重大科研基础设施、购置的大型科研仪器设备应当按照规定向民营经济组织开放共享。</w:t>
      </w:r>
    </w:p>
    <w:p>
      <w:pPr>
        <w:spacing w:line="320" w:lineRule="exact"/>
        <w:rPr>
          <w:rFonts w:hint="eastAsia"/>
          <w:kern w:val="0"/>
          <w:lang w:val="en-US" w:eastAsia="zh-CN"/>
        </w:rPr>
      </w:pPr>
      <w:r>
        <w:rPr>
          <w:rFonts w:hint="eastAsia"/>
          <w:kern w:val="0"/>
          <w:lang w:val="en-US" w:eastAsia="zh-CN"/>
        </w:rPr>
        <w:t>第十二条  市、县（市、区）人民政府应当优化土地供应机制，统筹配置土地资源要素，保障包括民营经济组织在内的各类经济组织的合理用地需求。</w:t>
      </w:r>
    </w:p>
    <w:p>
      <w:pPr>
        <w:spacing w:line="320" w:lineRule="exact"/>
        <w:rPr>
          <w:rFonts w:hint="eastAsia"/>
          <w:kern w:val="0"/>
          <w:lang w:val="en-US" w:eastAsia="zh-CN"/>
        </w:rPr>
      </w:pPr>
      <w:r>
        <w:rPr>
          <w:rFonts w:hint="eastAsia"/>
          <w:kern w:val="0"/>
          <w:lang w:val="en-US" w:eastAsia="zh-CN"/>
        </w:rPr>
        <w:t>自然资源和规划等有关部门应当深化盘活利用低效用地改革，完善城镇低效用地认定标准，支持通过产业更新、提容增效、综合整治等多种模式促进节约集约用地。</w:t>
      </w:r>
    </w:p>
    <w:p>
      <w:pPr>
        <w:spacing w:line="320" w:lineRule="exact"/>
        <w:rPr>
          <w:rFonts w:hint="eastAsia"/>
          <w:kern w:val="0"/>
          <w:lang w:val="en-US" w:eastAsia="zh-CN"/>
        </w:rPr>
      </w:pPr>
      <w:r>
        <w:rPr>
          <w:rFonts w:hint="eastAsia"/>
          <w:kern w:val="0"/>
          <w:lang w:val="en-US" w:eastAsia="zh-CN"/>
        </w:rPr>
        <w:t>自然资源和规划部门应当会同有关部门依法制定相关政策，明确开发范围、使用年限、用途限制等要求，有序释放地下空间、桥下空间等空间资源；创新优化产业用地供应方式，推动不同产业用地类型合理转换，探索增加混合产业用地供给。</w:t>
      </w:r>
    </w:p>
    <w:p>
      <w:pPr>
        <w:spacing w:line="320" w:lineRule="exact"/>
        <w:rPr>
          <w:rFonts w:hint="eastAsia"/>
          <w:kern w:val="0"/>
          <w:lang w:val="en-US" w:eastAsia="zh-CN"/>
        </w:rPr>
      </w:pPr>
      <w:r>
        <w:rPr>
          <w:rFonts w:hint="eastAsia"/>
          <w:kern w:val="0"/>
          <w:lang w:val="en-US" w:eastAsia="zh-CN"/>
        </w:rPr>
        <w:t>第十三条  人力资源和社会保障等有关部门应当健全人才引进、培养、使用、评价、服务、激励机制，建设高水平人才集聚平台。</w:t>
      </w:r>
    </w:p>
    <w:p>
      <w:pPr>
        <w:spacing w:line="320" w:lineRule="exact"/>
        <w:rPr>
          <w:rFonts w:hint="eastAsia"/>
          <w:kern w:val="0"/>
          <w:lang w:val="en-US" w:eastAsia="zh-CN"/>
        </w:rPr>
      </w:pPr>
      <w:r>
        <w:rPr>
          <w:rFonts w:hint="eastAsia"/>
          <w:kern w:val="0"/>
          <w:lang w:val="en-US" w:eastAsia="zh-CN"/>
        </w:rPr>
        <w:t>人力资源和社会保障部门应当完善用工和求职信息供需对接平台，做好信息发布、精准匹配、跟踪对接工作，强化用工指导与权益保障，助力包括民营经济组织在内的各类经济组织高效配置人力资源、稳定用工秩序；引导有需求的民营经济组织灵活用工、共享用工。</w:t>
      </w:r>
    </w:p>
    <w:p>
      <w:pPr>
        <w:spacing w:line="320" w:lineRule="exact"/>
        <w:rPr>
          <w:rFonts w:hint="eastAsia"/>
          <w:kern w:val="0"/>
          <w:lang w:val="en-US" w:eastAsia="zh-CN"/>
        </w:rPr>
      </w:pPr>
      <w:r>
        <w:rPr>
          <w:rFonts w:hint="eastAsia"/>
          <w:kern w:val="0"/>
          <w:lang w:val="en-US" w:eastAsia="zh-CN"/>
        </w:rPr>
        <w:t>教育、人力资源和社会保障等有关部门应当支持高等学校、职业学校、技工院校与民营经济组织合作共建实习实践基地，联合开展专业人才和产业工人定向培养。支持全国各地高等学校在泉州设立教育基地。</w:t>
      </w:r>
    </w:p>
    <w:p>
      <w:pPr>
        <w:spacing w:line="320" w:lineRule="exact"/>
        <w:rPr>
          <w:rFonts w:hint="eastAsia"/>
          <w:kern w:val="0"/>
          <w:lang w:val="en-US" w:eastAsia="zh-CN"/>
        </w:rPr>
      </w:pPr>
      <w:r>
        <w:rPr>
          <w:rFonts w:hint="eastAsia"/>
          <w:kern w:val="0"/>
          <w:lang w:val="en-US" w:eastAsia="zh-CN"/>
        </w:rPr>
        <w:t>人力资源和社会保障等有关部门应当畅通民营经济组织职称评审和职业技能等级认定渠道，支持民营经济组织按照相关规定自主评价高层次和高技能人才。对符合条件的人才，应当提供住房、医疗保健等相关待遇。</w:t>
      </w:r>
    </w:p>
    <w:p>
      <w:pPr>
        <w:spacing w:line="320" w:lineRule="exact"/>
        <w:rPr>
          <w:rFonts w:hint="eastAsia"/>
          <w:kern w:val="0"/>
          <w:lang w:val="en-US" w:eastAsia="zh-CN"/>
        </w:rPr>
      </w:pPr>
      <w:r>
        <w:rPr>
          <w:rFonts w:hint="eastAsia"/>
          <w:kern w:val="0"/>
          <w:lang w:val="en-US" w:eastAsia="zh-CN"/>
        </w:rPr>
        <w:t>第十四条  数据管理等有关部门应当构建标准统一、管理协同的公共数据资源体系，组织相关公共数据持有单位制定并向社会公布公共数据开放开发目录和申请流程；建立数据共享风险评估与合规指引机制，保障数据共享流程规范、使用安全；引导民营经济组织依法依规在省、市公共数据资源开发服务平台开发利用交通运输、市场监督管理等领域与民生产业紧密相关的公共数据。</w:t>
      </w:r>
    </w:p>
    <w:p>
      <w:pPr>
        <w:spacing w:line="320" w:lineRule="exact"/>
        <w:rPr>
          <w:rFonts w:hint="eastAsia"/>
          <w:kern w:val="0"/>
          <w:lang w:val="en-US" w:eastAsia="zh-CN"/>
        </w:rPr>
      </w:pPr>
      <w:r>
        <w:rPr>
          <w:rFonts w:hint="eastAsia"/>
          <w:kern w:val="0"/>
          <w:lang w:val="en-US" w:eastAsia="zh-CN"/>
        </w:rPr>
        <w:t>数据管理等有关部门鼓励行业龙头企业、数据密集型企业、互联网平台型企业等向政府共享非公共数据，加强公共数据和非公共数据融合开发应用；制定政策措施支持民营经济组织参与数字福建建设，开展场景应用创新，促进实体经济和数字经济融合发展。</w:t>
      </w:r>
    </w:p>
    <w:p>
      <w:pPr>
        <w:spacing w:line="320" w:lineRule="exact"/>
        <w:rPr>
          <w:rFonts w:hint="eastAsia"/>
          <w:kern w:val="0"/>
          <w:lang w:val="en-US" w:eastAsia="zh-CN"/>
        </w:rPr>
      </w:pPr>
      <w:r>
        <w:rPr>
          <w:rFonts w:hint="eastAsia"/>
          <w:kern w:val="0"/>
          <w:lang w:val="en-US" w:eastAsia="zh-CN"/>
        </w:rPr>
        <w:t>第十五条  市、县（市、区）人民政府及其地方金融管理、财政等有关部门应当深化金融服务实体经济创新实践，完善金融服务体系，强化财政金融协调联动，运用贷款贴息、融资担保增信等方式，支持实体经济发展。</w:t>
      </w:r>
    </w:p>
    <w:p>
      <w:pPr>
        <w:spacing w:line="320" w:lineRule="exact"/>
        <w:rPr>
          <w:rFonts w:hint="eastAsia"/>
          <w:kern w:val="0"/>
          <w:lang w:val="en-US" w:eastAsia="zh-CN"/>
        </w:rPr>
      </w:pPr>
      <w:r>
        <w:rPr>
          <w:rFonts w:hint="eastAsia"/>
          <w:kern w:val="0"/>
          <w:lang w:val="en-US" w:eastAsia="zh-CN"/>
        </w:rPr>
        <w:t>市、县（市、区）人民政府及其地方金融管理、财政等有关部门应当支持银行业金融机构推广多元化担保模式，加大对民营经济组织的信贷资金投放力度，降低民营经济组织的综合融资成本，并合理增加中长期贷款和信用贷款支持；对符合条件的民营经济组织开展无还本续贷、循环贷款等业务。</w:t>
      </w:r>
    </w:p>
    <w:p>
      <w:pPr>
        <w:spacing w:line="320" w:lineRule="exact"/>
        <w:rPr>
          <w:rFonts w:hint="eastAsia"/>
          <w:kern w:val="0"/>
          <w:lang w:val="en-US" w:eastAsia="zh-CN"/>
        </w:rPr>
      </w:pPr>
      <w:r>
        <w:rPr>
          <w:rFonts w:hint="eastAsia"/>
          <w:kern w:val="0"/>
          <w:lang w:val="en-US" w:eastAsia="zh-CN"/>
        </w:rPr>
        <w:t>中小企业以应收账款融资的，机关、事业单位和大型企业应当自中小企业提出确权请求之日起三十日内确认债权债务关系，支持中小企业融资。</w:t>
      </w:r>
    </w:p>
    <w:p>
      <w:pPr>
        <w:spacing w:line="320" w:lineRule="exact"/>
        <w:rPr>
          <w:rFonts w:hint="eastAsia"/>
          <w:kern w:val="0"/>
          <w:lang w:val="en-US" w:eastAsia="zh-CN"/>
        </w:rPr>
      </w:pPr>
      <w:r>
        <w:rPr>
          <w:rFonts w:hint="eastAsia"/>
          <w:kern w:val="0"/>
          <w:lang w:val="en-US" w:eastAsia="zh-CN"/>
        </w:rPr>
        <w:t>第十六条  市、县（市、区）人民政府及其有关部门应当推进能源绿色低碳转型，合理布局风电、光伏、核电、氢能等清洁能源发展，有序推动抽水蓄能、新型储能等设施建设，支持民营经济组织参与可再生能源发电和储能等新能源投资建设。</w:t>
      </w:r>
    </w:p>
    <w:p>
      <w:pPr>
        <w:spacing w:line="320" w:lineRule="exact"/>
        <w:rPr>
          <w:rFonts w:hint="eastAsia"/>
          <w:kern w:val="0"/>
          <w:lang w:val="en-US" w:eastAsia="zh-CN"/>
        </w:rPr>
      </w:pPr>
      <w:r>
        <w:rPr>
          <w:rFonts w:hint="eastAsia"/>
          <w:kern w:val="0"/>
          <w:lang w:val="en-US" w:eastAsia="zh-CN"/>
        </w:rPr>
        <w:t>生态环境、水利、发展改革等有关部门应当因地制宜推进碳排放权、排污权、用水权和绿色电力等交易，推动相关权益指标依法有序流转。</w:t>
      </w:r>
    </w:p>
    <w:p>
      <w:pPr>
        <w:spacing w:line="320" w:lineRule="exact"/>
        <w:rPr>
          <w:rFonts w:hint="eastAsia"/>
          <w:kern w:val="0"/>
          <w:lang w:val="en-US" w:eastAsia="zh-CN"/>
        </w:rPr>
      </w:pPr>
      <w:r>
        <w:rPr>
          <w:rFonts w:hint="eastAsia"/>
          <w:kern w:val="0"/>
          <w:lang w:val="en-US" w:eastAsia="zh-CN"/>
        </w:rPr>
        <w:t>第十七条  市、县（市、区）人民政府及其有关部门应当健全华人华侨、台港澳同胞和在外泉州籍企业家联系服务机制，搭建对接交流和投资贸易合作平台，完善项目洽谈、政策咨询、要素保障等服务措施。</w:t>
      </w:r>
    </w:p>
    <w:p>
      <w:pPr>
        <w:spacing w:line="320" w:lineRule="exact"/>
        <w:rPr>
          <w:rFonts w:hint="eastAsia"/>
          <w:kern w:val="0"/>
          <w:lang w:val="en-US" w:eastAsia="zh-CN"/>
        </w:rPr>
      </w:pPr>
      <w:r>
        <w:rPr>
          <w:rFonts w:hint="eastAsia"/>
          <w:kern w:val="0"/>
          <w:lang w:val="en-US" w:eastAsia="zh-CN"/>
        </w:rPr>
        <w:t>市、县（市、区）人民政府及其有关部门应当支持华人华侨、台港澳同胞和在外泉州籍企业家在泉州投资兴业，开展经贸合作，设立研发创新、市场营销、供应链管理、财务结算等功能性机构、区域性总部或者国际业务总部，参与跨境电商、市场采购等外贸新业态发展。鼓励、支持民营经济组织与台湾地区加强合作，促进两岸经济融合发展。</w:t>
      </w:r>
    </w:p>
    <w:p>
      <w:pPr>
        <w:spacing w:line="320" w:lineRule="exact"/>
        <w:rPr>
          <w:rFonts w:hint="eastAsia"/>
          <w:kern w:val="0"/>
          <w:lang w:val="en-US" w:eastAsia="zh-CN"/>
        </w:rPr>
      </w:pPr>
      <w:r>
        <w:rPr>
          <w:rFonts w:hint="eastAsia"/>
          <w:kern w:val="0"/>
          <w:lang w:val="en-US" w:eastAsia="zh-CN"/>
        </w:rPr>
        <w:br w:type="textWrapping"/>
      </w:r>
      <w:r>
        <w:rPr>
          <w:rFonts w:hint="eastAsia"/>
          <w:kern w:val="0"/>
          <w:lang w:val="en-US" w:eastAsia="zh-CN"/>
        </w:rPr>
        <w:t>第三章 企业融通发展</w:t>
      </w:r>
    </w:p>
    <w:p>
      <w:pPr>
        <w:spacing w:line="320" w:lineRule="exact"/>
        <w:rPr>
          <w:rFonts w:hint="eastAsia"/>
          <w:kern w:val="0"/>
          <w:lang w:val="en-US" w:eastAsia="zh-CN"/>
        </w:rPr>
      </w:pPr>
      <w:r>
        <w:rPr>
          <w:rFonts w:hint="eastAsia"/>
          <w:kern w:val="0"/>
          <w:lang w:val="en-US" w:eastAsia="zh-CN"/>
        </w:rPr>
        <w:t>第十八条  传承弘扬、创新发展“晋江经验”，应当构建大中小企业相互依存、相互促进的企业发展生态，建设现代化产业体系，巩固壮大实体经济根基。</w:t>
      </w:r>
    </w:p>
    <w:p>
      <w:pPr>
        <w:spacing w:line="320" w:lineRule="exact"/>
        <w:rPr>
          <w:rFonts w:hint="eastAsia"/>
          <w:kern w:val="0"/>
          <w:lang w:val="en-US" w:eastAsia="zh-CN"/>
        </w:rPr>
      </w:pPr>
      <w:r>
        <w:rPr>
          <w:rFonts w:hint="eastAsia"/>
          <w:kern w:val="0"/>
          <w:lang w:val="en-US" w:eastAsia="zh-CN"/>
        </w:rPr>
        <w:t>第十九条  市、县（市、区）人民政府及其有关部门应当鼓励、支持大型企业与中小企业组建产业联盟、创新联合体，共同开展技术攻关、市场开拓等活动。</w:t>
      </w:r>
    </w:p>
    <w:p>
      <w:pPr>
        <w:spacing w:line="320" w:lineRule="exact"/>
        <w:rPr>
          <w:rFonts w:hint="eastAsia"/>
          <w:kern w:val="0"/>
          <w:lang w:val="en-US" w:eastAsia="zh-CN"/>
        </w:rPr>
      </w:pPr>
      <w:r>
        <w:rPr>
          <w:rFonts w:hint="eastAsia"/>
          <w:kern w:val="0"/>
          <w:lang w:val="en-US" w:eastAsia="zh-CN"/>
        </w:rPr>
        <w:t>市、县（市、区）人民政府及其有关部门应当制定政策措施，推动大型企业向产业链上下游企业开放共享技术创新成果、先进管理经验和成熟商业模式，带动产业集群整体发展。支持大型企业与中小企业建立品牌、设计、研发等方面的协作关系，带动和促进中小企业发展。</w:t>
      </w:r>
    </w:p>
    <w:p>
      <w:pPr>
        <w:spacing w:line="320" w:lineRule="exact"/>
        <w:rPr>
          <w:rFonts w:hint="eastAsia"/>
          <w:kern w:val="0"/>
          <w:lang w:val="en-US" w:eastAsia="zh-CN"/>
        </w:rPr>
      </w:pPr>
      <w:r>
        <w:rPr>
          <w:rFonts w:hint="eastAsia"/>
          <w:kern w:val="0"/>
          <w:lang w:val="en-US" w:eastAsia="zh-CN"/>
        </w:rPr>
        <w:t>鼓励、支持民营经济组织参与国有企业改制重组、合资经营和混合所有制改革。支持国有企业与民营经济组织按照市场化机制加强产业链、供应链等对接合作。</w:t>
      </w:r>
    </w:p>
    <w:p>
      <w:pPr>
        <w:spacing w:line="320" w:lineRule="exact"/>
        <w:rPr>
          <w:rFonts w:hint="eastAsia"/>
          <w:kern w:val="0"/>
          <w:lang w:val="en-US" w:eastAsia="zh-CN"/>
        </w:rPr>
      </w:pPr>
      <w:r>
        <w:rPr>
          <w:rFonts w:hint="eastAsia"/>
          <w:kern w:val="0"/>
          <w:lang w:val="en-US" w:eastAsia="zh-CN"/>
        </w:rPr>
        <w:t>第二十条  工业和信息化等有关部门应当支持民营经济组织依法开展并购重组，加强品牌管理、技术研发、市场运营、商业模式创新，增强核心竞争力。</w:t>
      </w:r>
    </w:p>
    <w:p>
      <w:pPr>
        <w:spacing w:line="320" w:lineRule="exact"/>
        <w:rPr>
          <w:rFonts w:hint="eastAsia"/>
          <w:kern w:val="0"/>
          <w:lang w:val="en-US" w:eastAsia="zh-CN"/>
        </w:rPr>
      </w:pPr>
      <w:r>
        <w:rPr>
          <w:rFonts w:hint="eastAsia"/>
          <w:kern w:val="0"/>
          <w:lang w:val="en-US" w:eastAsia="zh-CN"/>
        </w:rPr>
        <w:t>工业和信息化等有关部门应当支持民营经济组织组建制造业创新中心等平台，承担国家、省级重大科技项目，开展国际产能合作，提升企业国际影响力。</w:t>
      </w:r>
    </w:p>
    <w:p>
      <w:pPr>
        <w:spacing w:line="320" w:lineRule="exact"/>
        <w:rPr>
          <w:rFonts w:hint="eastAsia"/>
          <w:kern w:val="0"/>
          <w:lang w:val="en-US" w:eastAsia="zh-CN"/>
        </w:rPr>
      </w:pPr>
      <w:r>
        <w:rPr>
          <w:rFonts w:hint="eastAsia"/>
          <w:kern w:val="0"/>
          <w:lang w:val="en-US" w:eastAsia="zh-CN"/>
        </w:rPr>
        <w:t>第二十一条  市人民政府应当在本级财政预算中安排中小企业发展资金，支持中小企业发展。县（市、区）人民政府应当根据本地实际，为中小企业发展提供财政支持。</w:t>
      </w:r>
    </w:p>
    <w:p>
      <w:pPr>
        <w:spacing w:line="320" w:lineRule="exact"/>
        <w:rPr>
          <w:rFonts w:hint="eastAsia"/>
          <w:kern w:val="0"/>
          <w:lang w:val="en-US" w:eastAsia="zh-CN"/>
        </w:rPr>
      </w:pPr>
      <w:r>
        <w:rPr>
          <w:rFonts w:hint="eastAsia"/>
          <w:kern w:val="0"/>
          <w:lang w:val="en-US" w:eastAsia="zh-CN"/>
        </w:rPr>
        <w:t>发展改革部门应当会同工业和信息化、市场监督管理等有关部门建立支持中小企业健康发展工作协调机制，制定和完善引导中小企业专业化、精细化、特色化、新颖化发展的政策措施，推动中小企业加快转型升级，提升创新能力。</w:t>
      </w:r>
    </w:p>
    <w:p>
      <w:pPr>
        <w:spacing w:line="320" w:lineRule="exact"/>
        <w:rPr>
          <w:rFonts w:hint="eastAsia"/>
          <w:kern w:val="0"/>
          <w:lang w:val="en-US" w:eastAsia="zh-CN"/>
        </w:rPr>
      </w:pPr>
      <w:r>
        <w:rPr>
          <w:rFonts w:hint="eastAsia"/>
          <w:kern w:val="0"/>
          <w:lang w:val="en-US" w:eastAsia="zh-CN"/>
        </w:rPr>
        <w:t>工业和信息化等有关部门应当实施精准对接服务，支持符合条件的小微企业升级为规模以上企业。</w:t>
      </w:r>
    </w:p>
    <w:p>
      <w:pPr>
        <w:spacing w:line="320" w:lineRule="exact"/>
        <w:rPr>
          <w:rFonts w:hint="eastAsia"/>
          <w:kern w:val="0"/>
          <w:lang w:val="en-US" w:eastAsia="zh-CN"/>
        </w:rPr>
      </w:pPr>
      <w:r>
        <w:rPr>
          <w:rFonts w:hint="eastAsia"/>
          <w:kern w:val="0"/>
          <w:lang w:val="en-US" w:eastAsia="zh-CN"/>
        </w:rPr>
        <w:t>市场监督管理等有关部门应当健全完善个体工商户转型为企业的绿色通道，按照国家相关规定简化注册登记等流程。</w:t>
      </w:r>
    </w:p>
    <w:p>
      <w:pPr>
        <w:spacing w:line="320" w:lineRule="exact"/>
        <w:rPr>
          <w:rFonts w:hint="eastAsia"/>
          <w:kern w:val="0"/>
          <w:lang w:val="en-US" w:eastAsia="zh-CN"/>
        </w:rPr>
      </w:pPr>
      <w:r>
        <w:rPr>
          <w:rFonts w:hint="eastAsia"/>
          <w:kern w:val="0"/>
          <w:lang w:val="en-US" w:eastAsia="zh-CN"/>
        </w:rPr>
        <w:t>第二十二条  民营经济组织应当提升合规经营管理水平，严格遵守法律法规以及行业规范，建立健全员工廉洁教育与培训制度，建设优秀企业文化，实现健康规范发展。鼓励有条件的民营经济组织建立完善现代企业制度。</w:t>
      </w:r>
    </w:p>
    <w:p>
      <w:pPr>
        <w:spacing w:line="320" w:lineRule="exact"/>
        <w:rPr>
          <w:rFonts w:hint="eastAsia"/>
          <w:kern w:val="0"/>
          <w:lang w:val="en-US" w:eastAsia="zh-CN"/>
        </w:rPr>
      </w:pPr>
      <w:r>
        <w:rPr>
          <w:rFonts w:hint="eastAsia"/>
          <w:kern w:val="0"/>
          <w:lang w:val="en-US" w:eastAsia="zh-CN"/>
        </w:rPr>
        <w:t>市、县（市、区）人民政府及其有关部门应当为民营经济组织及其经营者提供财政税收、劳动用工、安全生产、生态环境保护等方面的培训、咨询服务；引导民营经济组织加强自身财务管理和廉洁风险防控，规范会计核算，实现民营经济组织财产与民营经济组织经营者个人财产分离；可以通过政府采购服务等方式支持中小企业合规管理。</w:t>
      </w:r>
    </w:p>
    <w:p>
      <w:pPr>
        <w:spacing w:line="320" w:lineRule="exact"/>
        <w:rPr>
          <w:rFonts w:hint="eastAsia"/>
          <w:kern w:val="0"/>
          <w:lang w:val="en-US" w:eastAsia="zh-CN"/>
        </w:rPr>
      </w:pPr>
      <w:r>
        <w:rPr>
          <w:rFonts w:hint="eastAsia"/>
          <w:kern w:val="0"/>
          <w:lang w:val="en-US" w:eastAsia="zh-CN"/>
        </w:rPr>
        <w:t>行业协会、商会应当发挥服务和行业自律功能，研究制定行业自律规约或者合规经营指南，促进民营经济组织诚信规范经营。</w:t>
      </w:r>
    </w:p>
    <w:p>
      <w:pPr>
        <w:spacing w:line="320" w:lineRule="exact"/>
        <w:rPr>
          <w:rFonts w:hint="eastAsia"/>
          <w:kern w:val="0"/>
          <w:lang w:val="en-US" w:eastAsia="zh-CN"/>
        </w:rPr>
      </w:pPr>
      <w:r>
        <w:rPr>
          <w:rFonts w:hint="eastAsia"/>
          <w:kern w:val="0"/>
          <w:lang w:val="en-US" w:eastAsia="zh-CN"/>
        </w:rPr>
        <w:t>第二十三条  市、县（市、区）人民政府及其有关部门应当加强品牌培育，健全品牌保护机制，完善宣传推广与维权保护服务措施。</w:t>
      </w:r>
    </w:p>
    <w:p>
      <w:pPr>
        <w:spacing w:line="320" w:lineRule="exact"/>
        <w:rPr>
          <w:rFonts w:hint="eastAsia"/>
          <w:kern w:val="0"/>
          <w:lang w:val="en-US" w:eastAsia="zh-CN"/>
        </w:rPr>
      </w:pPr>
      <w:r>
        <w:rPr>
          <w:rFonts w:hint="eastAsia"/>
          <w:kern w:val="0"/>
          <w:lang w:val="en-US" w:eastAsia="zh-CN"/>
        </w:rPr>
        <w:t>市、县（市、区）人民政府及其有关部门应当支持民营经济组织制定品牌规划，开展国际管理体系认证、产品认证和商标国际注册等，实施品牌国内外并购，参与海外品牌推广活动，提升品牌国际知名度。</w:t>
      </w:r>
    </w:p>
    <w:p>
      <w:pPr>
        <w:spacing w:line="320" w:lineRule="exact"/>
        <w:rPr>
          <w:rFonts w:hint="eastAsia"/>
          <w:kern w:val="0"/>
          <w:lang w:val="en-US" w:eastAsia="zh-CN"/>
        </w:rPr>
      </w:pPr>
      <w:r>
        <w:rPr>
          <w:rFonts w:hint="eastAsia"/>
          <w:kern w:val="0"/>
          <w:lang w:val="en-US" w:eastAsia="zh-CN"/>
        </w:rPr>
        <w:t>市、县（市、区）人民政府及其有关部门应当支持产业基地、重点园区、专业市场等联合开展品牌创建，培育产业集群品牌；支持行业协会、产业联盟等打造鞋服、纺织、建材等特色产业区域公共品牌。</w:t>
      </w:r>
    </w:p>
    <w:p>
      <w:pPr>
        <w:spacing w:line="320" w:lineRule="exact"/>
        <w:rPr>
          <w:rFonts w:hint="eastAsia"/>
          <w:kern w:val="0"/>
          <w:lang w:val="en-US" w:eastAsia="zh-CN"/>
        </w:rPr>
      </w:pPr>
      <w:r>
        <w:rPr>
          <w:rFonts w:hint="eastAsia"/>
          <w:kern w:val="0"/>
          <w:lang w:val="en-US" w:eastAsia="zh-CN"/>
        </w:rPr>
        <w:t>第二十四条  市、县（市、区）人民政府应当支持民营经济组织依法参与团体标准、地方标准、行业标准、国家标准和国际标准制定，加强标准化专业人才培育，提供标准制定指导服务，推动先进企业标准转化为团体标准、地方标准和国家标准等。</w:t>
      </w:r>
    </w:p>
    <w:p>
      <w:pPr>
        <w:spacing w:line="320" w:lineRule="exact"/>
        <w:rPr>
          <w:rFonts w:hint="eastAsia"/>
          <w:kern w:val="0"/>
          <w:lang w:val="en-US" w:eastAsia="zh-CN"/>
        </w:rPr>
      </w:pPr>
      <w:r>
        <w:rPr>
          <w:rFonts w:hint="eastAsia"/>
          <w:kern w:val="0"/>
          <w:lang w:val="en-US" w:eastAsia="zh-CN"/>
        </w:rPr>
        <w:t>市、县（市、区）人民政府应当支持民营经济组织立足技术创新优势，制定高于推荐性标准相关技术要求、具有国际先进水平的企业标准。鼓励民营经济组织骨干人才进入各级标准化技术委员会。</w:t>
      </w:r>
    </w:p>
    <w:p>
      <w:pPr>
        <w:spacing w:line="320" w:lineRule="exact"/>
        <w:rPr>
          <w:rFonts w:hint="eastAsia"/>
          <w:kern w:val="0"/>
          <w:lang w:val="en-US" w:eastAsia="zh-CN"/>
        </w:rPr>
      </w:pPr>
      <w:r>
        <w:rPr>
          <w:rFonts w:hint="eastAsia"/>
          <w:kern w:val="0"/>
          <w:lang w:val="en-US" w:eastAsia="zh-CN"/>
        </w:rPr>
        <w:t>第二十五条  地方金融管理等有关部门应当为符合条件的民营经济组织依法在境内外证券交易所上市或者在全国中小企业股份转让系统、区域性股权市场挂牌交易提供辅导和服务，培育和引进证券公司、投资银行等金融机构，加快发展法律、会计、咨询等上市中介服务机构，推动形成上市孵化生态圈。</w:t>
      </w:r>
    </w:p>
    <w:p>
      <w:pPr>
        <w:spacing w:line="320" w:lineRule="exact"/>
        <w:rPr>
          <w:rFonts w:hint="eastAsia"/>
          <w:kern w:val="0"/>
          <w:lang w:val="en-US" w:eastAsia="zh-CN"/>
        </w:rPr>
      </w:pPr>
      <w:r>
        <w:rPr>
          <w:rFonts w:hint="eastAsia"/>
          <w:kern w:val="0"/>
          <w:lang w:val="en-US" w:eastAsia="zh-CN"/>
        </w:rPr>
        <w:t>第二十六条  市、县（市、区）人民政府应当完善民营经济组织海外综合服务体系，支持、推动律师事务所、会计师事务所、咨询等专业机构为民营经济组织开展跨境合作提供合规指导、政策解读、风险预警、经营指引等服务。</w:t>
      </w:r>
    </w:p>
    <w:p>
      <w:pPr>
        <w:spacing w:line="320" w:lineRule="exact"/>
        <w:rPr>
          <w:rFonts w:hint="eastAsia"/>
          <w:kern w:val="0"/>
          <w:lang w:val="en-US" w:eastAsia="zh-CN"/>
        </w:rPr>
      </w:pPr>
      <w:r>
        <w:rPr>
          <w:rFonts w:hint="eastAsia"/>
          <w:kern w:val="0"/>
          <w:lang w:val="en-US" w:eastAsia="zh-CN"/>
        </w:rPr>
        <w:t>商务等有关部门应当支持民营经济组织开展海外并购活动，引导产业链、供应链安全有序跨境配置，推动民营经济组织拓展国际市场，优化全球布局。</w:t>
      </w:r>
    </w:p>
    <w:p>
      <w:pPr>
        <w:spacing w:line="320" w:lineRule="exact"/>
        <w:rPr>
          <w:rFonts w:hint="eastAsia"/>
          <w:kern w:val="0"/>
          <w:lang w:val="en-US" w:eastAsia="zh-CN"/>
        </w:rPr>
      </w:pPr>
      <w:r>
        <w:rPr>
          <w:rFonts w:hint="eastAsia"/>
          <w:kern w:val="0"/>
          <w:lang w:val="en-US" w:eastAsia="zh-CN"/>
        </w:rPr>
        <w:t>第二十七条  市、县（市、区）人民政府应当结合本地产业优势，打造本市特色展会品牌，完善展会服务保障体系，支持展会基础设施以及交通、餐饮、住宿等配套设施建设，壮大会展经济。</w:t>
      </w:r>
    </w:p>
    <w:p>
      <w:pPr>
        <w:spacing w:line="320" w:lineRule="exact"/>
        <w:rPr>
          <w:rFonts w:hint="eastAsia"/>
          <w:kern w:val="0"/>
          <w:lang w:val="en-US" w:eastAsia="zh-CN"/>
        </w:rPr>
      </w:pPr>
      <w:r>
        <w:rPr>
          <w:rFonts w:hint="eastAsia"/>
          <w:kern w:val="0"/>
          <w:lang w:val="en-US" w:eastAsia="zh-CN"/>
        </w:rPr>
        <w:t>商务等有关部门、贸促会应当支持民营经济组织参加境内外重点展会，为民营经济组织开展展览展销、市场拓展、经贸洽谈等提供信息对接、渠道搭建、通关便利等综合服务。</w:t>
      </w:r>
    </w:p>
    <w:p>
      <w:pPr>
        <w:spacing w:line="320" w:lineRule="exact"/>
        <w:rPr>
          <w:rFonts w:hint="eastAsia"/>
          <w:kern w:val="0"/>
          <w:lang w:val="en-US" w:eastAsia="zh-CN"/>
        </w:rPr>
      </w:pPr>
      <w:r>
        <w:rPr>
          <w:rFonts w:hint="eastAsia"/>
          <w:kern w:val="0"/>
          <w:lang w:val="en-US" w:eastAsia="zh-CN"/>
        </w:rPr>
        <w:br w:type="textWrapping"/>
      </w:r>
      <w:r>
        <w:rPr>
          <w:rFonts w:hint="eastAsia"/>
          <w:kern w:val="0"/>
          <w:lang w:val="en-US" w:eastAsia="zh-CN"/>
        </w:rPr>
        <w:t>第四章 产业科技创新</w:t>
      </w:r>
    </w:p>
    <w:p>
      <w:pPr>
        <w:spacing w:line="320" w:lineRule="exact"/>
        <w:rPr>
          <w:rFonts w:hint="eastAsia"/>
          <w:kern w:val="0"/>
          <w:lang w:val="en-US" w:eastAsia="zh-CN"/>
        </w:rPr>
      </w:pPr>
      <w:r>
        <w:rPr>
          <w:rFonts w:hint="eastAsia"/>
          <w:kern w:val="0"/>
          <w:lang w:val="en-US" w:eastAsia="zh-CN"/>
        </w:rPr>
        <w:t>第二十八条  传承弘扬、创新发展“晋江经验”，应当坚持以科技创新引领新质生产力发展，推动科技创新和产业创新深度融合，推进传统产业转型升级，加快培育具有国际竞争力的新兴产业和未来产业。</w:t>
      </w:r>
    </w:p>
    <w:p>
      <w:pPr>
        <w:spacing w:line="320" w:lineRule="exact"/>
        <w:rPr>
          <w:rFonts w:hint="eastAsia"/>
          <w:kern w:val="0"/>
          <w:lang w:val="en-US" w:eastAsia="zh-CN"/>
        </w:rPr>
      </w:pPr>
      <w:r>
        <w:rPr>
          <w:rFonts w:hint="eastAsia"/>
          <w:kern w:val="0"/>
          <w:lang w:val="en-US" w:eastAsia="zh-CN"/>
        </w:rPr>
        <w:t>第二十九条  科技等有关部门应当健全支持民营经济组织科技创新的政策体系，引导民营经济组织建立研发准备金制度，推动民营经济组织有计划、可持续地加大研发投入。鼓励、引导民营经济组织参与重大科技任务、重大创新基地和载体建设。</w:t>
      </w:r>
    </w:p>
    <w:p>
      <w:pPr>
        <w:spacing w:line="320" w:lineRule="exact"/>
        <w:rPr>
          <w:rFonts w:hint="eastAsia"/>
          <w:kern w:val="0"/>
          <w:lang w:val="en-US" w:eastAsia="zh-CN"/>
        </w:rPr>
      </w:pPr>
      <w:r>
        <w:rPr>
          <w:rFonts w:hint="eastAsia"/>
          <w:kern w:val="0"/>
          <w:lang w:val="en-US" w:eastAsia="zh-CN"/>
        </w:rPr>
        <w:t>第三十条  市、县（市、区）人民政府及其有关部门应当健全教育、科技、人才发展一体推进的协调机制，建立拔尖科技创新人才发现和培养机制，引进、培育科技领军人才和高水平创新创业团队。</w:t>
      </w:r>
    </w:p>
    <w:p>
      <w:pPr>
        <w:spacing w:line="320" w:lineRule="exact"/>
        <w:rPr>
          <w:rFonts w:hint="eastAsia"/>
          <w:kern w:val="0"/>
          <w:lang w:val="en-US" w:eastAsia="zh-CN"/>
        </w:rPr>
      </w:pPr>
      <w:r>
        <w:rPr>
          <w:rFonts w:hint="eastAsia"/>
          <w:kern w:val="0"/>
          <w:lang w:val="en-US" w:eastAsia="zh-CN"/>
        </w:rPr>
        <w:t>第三十一条  科技、工业和信息化等有关部门应当鼓励、支持民营经济组织与高等学校、科研机构等合作，合理布局、共建共享概念验证中心、中试验证平台等，推动异地研发中心等创新平台建设，推进政产学研用协同创新。</w:t>
      </w:r>
    </w:p>
    <w:p>
      <w:pPr>
        <w:spacing w:line="320" w:lineRule="exact"/>
        <w:rPr>
          <w:rFonts w:hint="eastAsia"/>
          <w:kern w:val="0"/>
          <w:lang w:val="en-US" w:eastAsia="zh-CN"/>
        </w:rPr>
      </w:pPr>
      <w:r>
        <w:rPr>
          <w:rFonts w:hint="eastAsia"/>
          <w:kern w:val="0"/>
          <w:lang w:val="en-US" w:eastAsia="zh-CN"/>
        </w:rPr>
        <w:t>第三十二条  科技等有关部门应当完善科技成果转化交易平台，推进科技成果评估、挂牌、交易、托管、投融资等市场化建设；推广“企业家＋科学家＋投资人”协同创新模式，促进创新链、产业链、资金链、人才链精准对接。</w:t>
      </w:r>
    </w:p>
    <w:p>
      <w:pPr>
        <w:spacing w:line="320" w:lineRule="exact"/>
        <w:rPr>
          <w:rFonts w:hint="eastAsia"/>
          <w:kern w:val="0"/>
          <w:lang w:val="en-US" w:eastAsia="zh-CN"/>
        </w:rPr>
      </w:pPr>
      <w:r>
        <w:rPr>
          <w:rFonts w:hint="eastAsia"/>
          <w:kern w:val="0"/>
          <w:lang w:val="en-US" w:eastAsia="zh-CN"/>
        </w:rPr>
        <w:t>鼓励、支持高等学校、科研机构采用先使用后付费等方式，许可民营经济组织使用科技成果，促进科技成果高效转化以及产业化应用。</w:t>
      </w:r>
    </w:p>
    <w:p>
      <w:pPr>
        <w:spacing w:line="320" w:lineRule="exact"/>
        <w:rPr>
          <w:rFonts w:hint="eastAsia"/>
          <w:kern w:val="0"/>
          <w:lang w:val="en-US" w:eastAsia="zh-CN"/>
        </w:rPr>
      </w:pPr>
      <w:r>
        <w:rPr>
          <w:rFonts w:hint="eastAsia"/>
          <w:kern w:val="0"/>
          <w:lang w:val="en-US" w:eastAsia="zh-CN"/>
        </w:rPr>
        <w:t>第三十三条  科技等有关部门应当完善分层分类扶持政策，梯次培育科技和创新型中小企业、高新技术企业、科技领军企业，推动形成动态发展的科创企业生态。</w:t>
      </w:r>
    </w:p>
    <w:p>
      <w:pPr>
        <w:spacing w:line="320" w:lineRule="exact"/>
        <w:rPr>
          <w:rFonts w:hint="eastAsia"/>
          <w:kern w:val="0"/>
          <w:lang w:val="en-US" w:eastAsia="zh-CN"/>
        </w:rPr>
      </w:pPr>
      <w:r>
        <w:rPr>
          <w:rFonts w:hint="eastAsia"/>
          <w:kern w:val="0"/>
          <w:lang w:val="en-US" w:eastAsia="zh-CN"/>
        </w:rPr>
        <w:t>第三十四条  工业和信息化等有关部门应当完善智改数转公共服务体系，推进制造业新型技术改造和中小企业数字化转型，加强对传统产业转型升级和产业结构调整的分类指导，支持企业更新改造生产工艺、技术、装备和配套设施，加快向智能化、绿色化、融合化发展，推动传统产业从规模优势向技术优势、创新优势转变。</w:t>
      </w:r>
    </w:p>
    <w:p>
      <w:pPr>
        <w:spacing w:line="320" w:lineRule="exact"/>
        <w:rPr>
          <w:rFonts w:hint="eastAsia"/>
          <w:kern w:val="0"/>
          <w:lang w:val="en-US" w:eastAsia="zh-CN"/>
        </w:rPr>
      </w:pPr>
      <w:r>
        <w:rPr>
          <w:rFonts w:hint="eastAsia"/>
          <w:kern w:val="0"/>
          <w:lang w:val="en-US" w:eastAsia="zh-CN"/>
        </w:rPr>
        <w:t>第三十五条  发展改革、工业和信息化、科技等有关部门应当制定新兴产业和未来产业发展规划，明确发展重点、空间布局和保障措施。</w:t>
      </w:r>
    </w:p>
    <w:p>
      <w:pPr>
        <w:spacing w:line="320" w:lineRule="exact"/>
        <w:rPr>
          <w:rFonts w:hint="eastAsia"/>
          <w:kern w:val="0"/>
          <w:lang w:val="en-US" w:eastAsia="zh-CN"/>
        </w:rPr>
      </w:pPr>
      <w:r>
        <w:rPr>
          <w:rFonts w:hint="eastAsia"/>
          <w:kern w:val="0"/>
          <w:lang w:val="en-US" w:eastAsia="zh-CN"/>
        </w:rPr>
        <w:t>发展改革、工业和信息化、科技等有关部门应当建立新兴产业和未来产业投入增长和风险分担机制。推动场景资源开放，发布场景应用清单，促进新场景大规模应用。因地制宜培育发展新能源、新材料、生物医药、低空经济、人工智能等产业，前瞻布局量子科技、生物制造、具身智能等产业。</w:t>
      </w:r>
    </w:p>
    <w:p>
      <w:pPr>
        <w:spacing w:line="320" w:lineRule="exact"/>
        <w:rPr>
          <w:rFonts w:hint="eastAsia"/>
          <w:kern w:val="0"/>
          <w:lang w:val="en-US" w:eastAsia="zh-CN"/>
        </w:rPr>
      </w:pPr>
      <w:r>
        <w:rPr>
          <w:rFonts w:hint="eastAsia"/>
          <w:kern w:val="0"/>
          <w:lang w:val="en-US" w:eastAsia="zh-CN"/>
        </w:rPr>
        <w:t>第三十六条  市、县（市、区）人民政府及其地方金融管理、财政等有关部门应当健全政府资金引导、社会资本参与的覆盖产业投资、创业投资的政府投资基金体系，建立与新质生产力发展需求相适应的投资决策机制，重点投向创新创业、中小企业发展、传统产业转型升级、战略性新兴产业和未来产业等领域。</w:t>
      </w:r>
    </w:p>
    <w:p>
      <w:pPr>
        <w:spacing w:line="320" w:lineRule="exact"/>
        <w:rPr>
          <w:rFonts w:hint="eastAsia"/>
          <w:kern w:val="0"/>
          <w:lang w:val="en-US" w:eastAsia="zh-CN"/>
        </w:rPr>
      </w:pPr>
      <w:r>
        <w:rPr>
          <w:rFonts w:hint="eastAsia"/>
          <w:kern w:val="0"/>
          <w:lang w:val="en-US" w:eastAsia="zh-CN"/>
        </w:rPr>
        <w:t>市、县（市、区）人民政府应当优化政府投资基金考核评价体系，不简单以单个项目或者单一年度盈亏作为考核依据，建立健全以尽职合规责任豁免为核心的容错机制。</w:t>
      </w:r>
    </w:p>
    <w:p>
      <w:pPr>
        <w:spacing w:line="320" w:lineRule="exact"/>
        <w:rPr>
          <w:rFonts w:hint="eastAsia"/>
          <w:kern w:val="0"/>
          <w:lang w:val="en-US" w:eastAsia="zh-CN"/>
        </w:rPr>
      </w:pPr>
      <w:r>
        <w:rPr>
          <w:rFonts w:hint="eastAsia"/>
          <w:kern w:val="0"/>
          <w:lang w:val="en-US" w:eastAsia="zh-CN"/>
        </w:rPr>
        <w:br w:type="textWrapping"/>
      </w:r>
      <w:r>
        <w:rPr>
          <w:rFonts w:hint="eastAsia"/>
          <w:kern w:val="0"/>
          <w:lang w:val="en-US" w:eastAsia="zh-CN"/>
        </w:rPr>
        <w:t>第五章 产城融合发展</w:t>
      </w:r>
    </w:p>
    <w:p>
      <w:pPr>
        <w:spacing w:line="320" w:lineRule="exact"/>
        <w:rPr>
          <w:rFonts w:hint="eastAsia"/>
          <w:kern w:val="0"/>
          <w:lang w:val="en-US" w:eastAsia="zh-CN"/>
        </w:rPr>
      </w:pPr>
      <w:r>
        <w:rPr>
          <w:rFonts w:hint="eastAsia"/>
          <w:kern w:val="0"/>
          <w:lang w:val="en-US" w:eastAsia="zh-CN"/>
        </w:rPr>
        <w:t>第三十七条  传承弘扬、创新发展“晋江经验”，应当统筹新型工业化、新型城镇化和乡村全面振兴，促进城乡繁荣发展和共同富裕。</w:t>
      </w:r>
    </w:p>
    <w:p>
      <w:pPr>
        <w:spacing w:line="320" w:lineRule="exact"/>
        <w:rPr>
          <w:rFonts w:hint="eastAsia"/>
          <w:kern w:val="0"/>
          <w:lang w:val="en-US" w:eastAsia="zh-CN"/>
        </w:rPr>
      </w:pPr>
      <w:r>
        <w:rPr>
          <w:rFonts w:hint="eastAsia"/>
          <w:kern w:val="0"/>
          <w:lang w:val="en-US" w:eastAsia="zh-CN"/>
        </w:rPr>
        <w:t>第三十八条  市、县（市、区）人民政府及其工业和信息化等有关部门应当因地制宜发展“一县一特色”的县域重点产业链，明确主导产业方向，引导产业链上下游合作和跨产业融合发展，提升县域经济可持续发展能力。</w:t>
      </w:r>
    </w:p>
    <w:p>
      <w:pPr>
        <w:spacing w:line="320" w:lineRule="exact"/>
        <w:rPr>
          <w:rFonts w:hint="eastAsia"/>
          <w:kern w:val="0"/>
          <w:lang w:val="en-US" w:eastAsia="zh-CN"/>
        </w:rPr>
      </w:pPr>
      <w:r>
        <w:rPr>
          <w:rFonts w:hint="eastAsia"/>
          <w:kern w:val="0"/>
          <w:lang w:val="en-US" w:eastAsia="zh-CN"/>
        </w:rPr>
        <w:t>市、县（市、区）人民政府及其有关部门应当建立常态化跨县域交流机制，搭建产业对接、项目推介、技术交流、供需匹配平台，推动各县域产业协作、资源互补、经验互鉴，促进协同发展。</w:t>
      </w:r>
    </w:p>
    <w:p>
      <w:pPr>
        <w:spacing w:line="320" w:lineRule="exact"/>
        <w:rPr>
          <w:rFonts w:hint="eastAsia"/>
          <w:kern w:val="0"/>
          <w:lang w:val="en-US" w:eastAsia="zh-CN"/>
        </w:rPr>
      </w:pPr>
      <w:r>
        <w:rPr>
          <w:rFonts w:hint="eastAsia"/>
          <w:kern w:val="0"/>
          <w:lang w:val="en-US" w:eastAsia="zh-CN"/>
        </w:rPr>
        <w:t>第三十九条  工业和信息化等有关部门应当推进工业园区标准化建设，支持、引导龙头企业、科研机构、行业协会以及生产性服务业入驻园区，带动上下游中小企业入园集聚发展，推动产业要素与生活服务、公共配套、生态环境等要素统筹配置、有序融合，建设安居乐业的产业社区。</w:t>
      </w:r>
    </w:p>
    <w:p>
      <w:pPr>
        <w:spacing w:line="320" w:lineRule="exact"/>
        <w:rPr>
          <w:rFonts w:hint="eastAsia"/>
          <w:kern w:val="0"/>
          <w:lang w:val="en-US" w:eastAsia="zh-CN"/>
        </w:rPr>
      </w:pPr>
      <w:r>
        <w:rPr>
          <w:rFonts w:hint="eastAsia"/>
          <w:kern w:val="0"/>
          <w:lang w:val="en-US" w:eastAsia="zh-CN"/>
        </w:rPr>
        <w:t>工业和信息化等有关部门应当支持专精特新企业集聚建园，打造特色鲜明、优势突出的专业园区。</w:t>
      </w:r>
    </w:p>
    <w:p>
      <w:pPr>
        <w:spacing w:line="320" w:lineRule="exact"/>
        <w:rPr>
          <w:rFonts w:hint="eastAsia"/>
          <w:kern w:val="0"/>
          <w:lang w:val="en-US" w:eastAsia="zh-CN"/>
        </w:rPr>
      </w:pPr>
      <w:r>
        <w:rPr>
          <w:rFonts w:hint="eastAsia"/>
          <w:kern w:val="0"/>
          <w:lang w:val="en-US" w:eastAsia="zh-CN"/>
        </w:rPr>
        <w:t>第四十条  文化旅游等有关部门应当深度挖掘海丝文化、闽南文化、华侨文化等地域特色文化，运用世界遗产城市、世界美食之都等城市品牌效应，活化利用非物质文化遗产，培育新型文化旅游消费业态，推进文化旅游融合，大力发展文化旅游产业，以文化赋能经济社会发展。</w:t>
      </w:r>
    </w:p>
    <w:p>
      <w:pPr>
        <w:spacing w:line="320" w:lineRule="exact"/>
        <w:rPr>
          <w:rFonts w:hint="eastAsia"/>
          <w:kern w:val="0"/>
          <w:lang w:val="en-US" w:eastAsia="zh-CN"/>
        </w:rPr>
      </w:pPr>
      <w:r>
        <w:rPr>
          <w:rFonts w:hint="eastAsia"/>
          <w:kern w:val="0"/>
          <w:lang w:val="en-US" w:eastAsia="zh-CN"/>
        </w:rPr>
        <w:t>体育等有关部门应当依托本地产业优势，完善赛事相关配套设施和服务，积极引进高水平全国性、国际性体育赛事，培育自主品牌赛事，发展赛事经济，推动体育产业与城市建设、文化旅游、数字经济等深度融合。</w:t>
      </w:r>
    </w:p>
    <w:p>
      <w:pPr>
        <w:spacing w:line="320" w:lineRule="exact"/>
        <w:rPr>
          <w:rFonts w:hint="eastAsia"/>
          <w:kern w:val="0"/>
          <w:lang w:val="en-US" w:eastAsia="zh-CN"/>
        </w:rPr>
      </w:pPr>
      <w:r>
        <w:rPr>
          <w:rFonts w:hint="eastAsia"/>
          <w:kern w:val="0"/>
          <w:lang w:val="en-US" w:eastAsia="zh-CN"/>
        </w:rPr>
        <w:t>第四十一条  市、县（市、区）人民政府及其有关部门应当优化国土空间格局，深度融入厦漳泉都市圈建设，加快推进两岸（厦泉金）合作发展区泉州片区建设，健全生态保护与产业发展协同机制，构建沿海经济人口聚集、山区生态重点保护、山海协同联动的一体化发展格局。</w:t>
      </w:r>
    </w:p>
    <w:p>
      <w:pPr>
        <w:spacing w:line="320" w:lineRule="exact"/>
        <w:rPr>
          <w:rFonts w:hint="eastAsia"/>
          <w:kern w:val="0"/>
          <w:lang w:val="en-US" w:eastAsia="zh-CN"/>
        </w:rPr>
      </w:pPr>
      <w:r>
        <w:rPr>
          <w:rFonts w:hint="eastAsia"/>
          <w:kern w:val="0"/>
          <w:lang w:val="en-US" w:eastAsia="zh-CN"/>
        </w:rPr>
        <w:t>第四十二条  市、县（市、区）人民政府及其有关部门应当坚持人口、产业、城镇、交通一体规划，系统有序推进城市更新，完善教育、医疗、养老、托育等公共服务保障，推动建设现代服务业体系，加快环湾同城化发展，全面提升城市能级和品质。</w:t>
      </w:r>
    </w:p>
    <w:p>
      <w:pPr>
        <w:spacing w:line="320" w:lineRule="exact"/>
        <w:rPr>
          <w:rFonts w:hint="eastAsia"/>
          <w:kern w:val="0"/>
          <w:lang w:val="en-US" w:eastAsia="zh-CN"/>
        </w:rPr>
      </w:pPr>
      <w:r>
        <w:rPr>
          <w:rFonts w:hint="eastAsia"/>
          <w:kern w:val="0"/>
          <w:lang w:val="en-US" w:eastAsia="zh-CN"/>
        </w:rPr>
        <w:t>市、县（市、区）人民政府及其有关部门应当统筹推进交通、水利、能源、信息、市政等现代化基础设施建设，加强跨境区域物流网、跨境电商物流体系和综合物流中心建设，构建内外联通的现代化综合交通网络。</w:t>
      </w:r>
    </w:p>
    <w:p>
      <w:pPr>
        <w:spacing w:line="320" w:lineRule="exact"/>
        <w:rPr>
          <w:rFonts w:hint="eastAsia"/>
          <w:kern w:val="0"/>
          <w:lang w:val="en-US" w:eastAsia="zh-CN"/>
        </w:rPr>
      </w:pPr>
      <w:r>
        <w:rPr>
          <w:rFonts w:hint="eastAsia"/>
          <w:kern w:val="0"/>
          <w:lang w:val="en-US" w:eastAsia="zh-CN"/>
        </w:rPr>
        <w:t>市、县（市、区）人民政府及其有关部门应当推进智慧城市建设和数字化治理，完善“党建+”邻里中心、综治中心、基层小微权力监督平台建设，提高公共服务的数字化、智慧化和公共事务管理水平。</w:t>
      </w:r>
    </w:p>
    <w:p>
      <w:pPr>
        <w:spacing w:line="320" w:lineRule="exact"/>
        <w:rPr>
          <w:rFonts w:hint="eastAsia"/>
          <w:kern w:val="0"/>
          <w:lang w:val="en-US" w:eastAsia="zh-CN"/>
        </w:rPr>
      </w:pPr>
      <w:r>
        <w:rPr>
          <w:rFonts w:hint="eastAsia"/>
          <w:kern w:val="0"/>
          <w:lang w:val="en-US" w:eastAsia="zh-CN"/>
        </w:rPr>
        <w:t>第四十三条  市、县（市、区）人民政府及其有关部门应当深入实施“千万工程”，有序推进乡村振兴，发展特色乡村富民产业，提升乡村建设品质，建设宜居宜业海丝和美乡村。</w:t>
      </w:r>
    </w:p>
    <w:p>
      <w:pPr>
        <w:spacing w:line="320" w:lineRule="exact"/>
        <w:rPr>
          <w:rFonts w:hint="eastAsia"/>
          <w:kern w:val="0"/>
          <w:lang w:val="en-US" w:eastAsia="zh-CN"/>
        </w:rPr>
      </w:pPr>
      <w:r>
        <w:rPr>
          <w:rFonts w:hint="eastAsia"/>
          <w:kern w:val="0"/>
          <w:lang w:val="en-US" w:eastAsia="zh-CN"/>
        </w:rPr>
        <w:t>市、县（市、区）人民政府及其有关部门应当统筹完善城乡融合发展的机制和政策，坚持区域差异化协同发展，一体推进兴业、强县、富民，打造共同富裕泉州样板。</w:t>
      </w:r>
    </w:p>
    <w:p>
      <w:pPr>
        <w:spacing w:line="320" w:lineRule="exact"/>
        <w:rPr>
          <w:rFonts w:hint="eastAsia"/>
          <w:kern w:val="0"/>
          <w:lang w:val="en-US" w:eastAsia="zh-CN"/>
        </w:rPr>
      </w:pPr>
      <w:r>
        <w:rPr>
          <w:rFonts w:hint="eastAsia"/>
          <w:kern w:val="0"/>
          <w:lang w:val="en-US" w:eastAsia="zh-CN"/>
        </w:rPr>
        <w:br w:type="textWrapping"/>
      </w:r>
      <w:r>
        <w:rPr>
          <w:rFonts w:hint="eastAsia"/>
          <w:kern w:val="0"/>
          <w:lang w:val="en-US" w:eastAsia="zh-CN"/>
        </w:rPr>
        <w:t>第六章 政府服务保障</w:t>
      </w:r>
    </w:p>
    <w:p>
      <w:pPr>
        <w:spacing w:line="320" w:lineRule="exact"/>
        <w:rPr>
          <w:rFonts w:hint="eastAsia"/>
          <w:kern w:val="0"/>
          <w:lang w:val="en-US" w:eastAsia="zh-CN"/>
        </w:rPr>
      </w:pPr>
      <w:r>
        <w:rPr>
          <w:rFonts w:hint="eastAsia"/>
          <w:kern w:val="0"/>
          <w:lang w:val="en-US" w:eastAsia="zh-CN"/>
        </w:rPr>
        <w:t>第四十四条  传承弘扬、创新发展“晋江经验”，应当依法保护民营经济组织及其经营者的合法权益，持续优化营商环境，推动有效市场和有为政府更好结合。</w:t>
      </w:r>
    </w:p>
    <w:p>
      <w:pPr>
        <w:spacing w:line="320" w:lineRule="exact"/>
        <w:rPr>
          <w:rFonts w:hint="eastAsia"/>
          <w:kern w:val="0"/>
          <w:lang w:val="en-US" w:eastAsia="zh-CN"/>
        </w:rPr>
      </w:pPr>
      <w:r>
        <w:rPr>
          <w:rFonts w:hint="eastAsia"/>
          <w:kern w:val="0"/>
          <w:lang w:val="en-US" w:eastAsia="zh-CN"/>
        </w:rPr>
        <w:t>第四十五条  市、县（市、区）人民政府及其有关部门应当树立“不叫不到、随叫随到、说到做到、服务周到”的服务理念，当好“引路人、推车手、服务员”，健全民营经济发展综合服务体系，为民营经济组织提供规范、便捷、透明的政务服务。</w:t>
      </w:r>
    </w:p>
    <w:p>
      <w:pPr>
        <w:spacing w:line="320" w:lineRule="exact"/>
        <w:rPr>
          <w:rFonts w:hint="eastAsia"/>
          <w:kern w:val="0"/>
          <w:lang w:val="en-US" w:eastAsia="zh-CN"/>
        </w:rPr>
      </w:pPr>
      <w:r>
        <w:rPr>
          <w:rFonts w:hint="eastAsia"/>
          <w:kern w:val="0"/>
          <w:lang w:val="en-US" w:eastAsia="zh-CN"/>
        </w:rPr>
        <w:t>市、县（市、区）人民政府及其有关部门应当完善政企常态化沟通交流和问题解决机制，建立健全企业家参与涉企政策制定等机制，建强政务服务队伍与企业家队伍，构建亲清政商关系。</w:t>
      </w:r>
    </w:p>
    <w:p>
      <w:pPr>
        <w:spacing w:line="320" w:lineRule="exact"/>
        <w:rPr>
          <w:rFonts w:hint="eastAsia"/>
          <w:kern w:val="0"/>
          <w:lang w:val="en-US" w:eastAsia="zh-CN"/>
        </w:rPr>
      </w:pPr>
      <w:r>
        <w:rPr>
          <w:rFonts w:hint="eastAsia"/>
          <w:kern w:val="0"/>
          <w:lang w:val="en-US" w:eastAsia="zh-CN"/>
        </w:rPr>
        <w:t>第四十六条  市、县（市、区）人民政府及其有关部门应当加强监管标准化、规范化建设，依法公开监管标准和规则，增强监管制度和政策的稳定性、可预期性。探索对新技术、新产业、新业态、新模式等实行包容审慎监管，营造宽严有度的监管环境。</w:t>
      </w:r>
    </w:p>
    <w:p>
      <w:pPr>
        <w:spacing w:line="320" w:lineRule="exact"/>
        <w:rPr>
          <w:rFonts w:hint="eastAsia"/>
          <w:kern w:val="0"/>
          <w:lang w:val="en-US" w:eastAsia="zh-CN"/>
        </w:rPr>
      </w:pPr>
      <w:r>
        <w:rPr>
          <w:rFonts w:hint="eastAsia"/>
          <w:kern w:val="0"/>
          <w:lang w:val="en-US" w:eastAsia="zh-CN"/>
        </w:rPr>
        <w:t>市、县（市、区）人民政府及其有关部门应当规范对民营经济组织的行政执法行为，优化检查手段，严格控制入企检查频次，推行“综合查一次”“双随机、一公开”等检查方式，根据民营经济组织信用状况实施分级分类监管，最大限度减少对民营经济组织生产经营活动的影响。</w:t>
      </w:r>
    </w:p>
    <w:p>
      <w:pPr>
        <w:spacing w:line="320" w:lineRule="exact"/>
        <w:rPr>
          <w:rFonts w:hint="eastAsia"/>
          <w:kern w:val="0"/>
          <w:lang w:val="en-US" w:eastAsia="zh-CN"/>
        </w:rPr>
      </w:pPr>
      <w:r>
        <w:rPr>
          <w:rFonts w:hint="eastAsia"/>
          <w:kern w:val="0"/>
          <w:lang w:val="en-US" w:eastAsia="zh-CN"/>
        </w:rPr>
        <w:t>第四十七条  市、县（市、区）人民政府及其有关部门应当建立健全惠企政策兑现机制，持续推进“免申即享”“直达快享”，优化流程、强化监管，及时兑现各类涉企资金。</w:t>
      </w:r>
    </w:p>
    <w:p>
      <w:pPr>
        <w:spacing w:line="320" w:lineRule="exact"/>
        <w:rPr>
          <w:rFonts w:hint="eastAsia"/>
          <w:kern w:val="0"/>
          <w:lang w:val="en-US" w:eastAsia="zh-CN"/>
        </w:rPr>
      </w:pPr>
      <w:r>
        <w:rPr>
          <w:rFonts w:hint="eastAsia"/>
          <w:kern w:val="0"/>
          <w:lang w:val="en-US" w:eastAsia="zh-CN"/>
        </w:rPr>
        <w:t>第四十八条  市、县（市、区）人民政府及其有关部门应当履行依法作出的政策承诺和签订的合同，不得以行政区划调整、政府换届、机构或者职能调整以及相关责任人更替等为由不履行承诺或者违反约定。确因国家利益、公共利益需要改变政策承诺、合同约定的，应当按照法定权限和程序进行，并依法对民营经济组织因此受到的损失予以补偿。</w:t>
      </w:r>
    </w:p>
    <w:p>
      <w:pPr>
        <w:spacing w:line="320" w:lineRule="exact"/>
        <w:rPr>
          <w:rFonts w:hint="eastAsia"/>
          <w:kern w:val="0"/>
          <w:lang w:val="en-US" w:eastAsia="zh-CN"/>
        </w:rPr>
      </w:pPr>
      <w:r>
        <w:rPr>
          <w:rFonts w:hint="eastAsia"/>
          <w:kern w:val="0"/>
          <w:lang w:val="en-US" w:eastAsia="zh-CN"/>
        </w:rPr>
        <w:t>市、县（市、区）人民政府及其有关部门应当健全防范化解拖欠民营经济组织账款长效机制，将拖欠账款清偿情况纳入审计等监督检查范围，防止和纠正拖欠民营经济组织账款行为。</w:t>
      </w:r>
    </w:p>
    <w:p>
      <w:pPr>
        <w:spacing w:line="320" w:lineRule="exact"/>
        <w:rPr>
          <w:rFonts w:hint="eastAsia"/>
          <w:kern w:val="0"/>
          <w:lang w:val="en-US" w:eastAsia="zh-CN"/>
        </w:rPr>
      </w:pPr>
      <w:r>
        <w:rPr>
          <w:rFonts w:hint="eastAsia"/>
          <w:kern w:val="0"/>
          <w:lang w:val="en-US" w:eastAsia="zh-CN"/>
        </w:rPr>
        <w:t>第四十九条  市场监督管理等有关部门应当建立健全知识产权公共服务体系，为民营经济组织提供知识产权咨询辅导、专业培训、专利导航和预警分析服务。</w:t>
      </w:r>
    </w:p>
    <w:p>
      <w:pPr>
        <w:spacing w:line="320" w:lineRule="exact"/>
        <w:rPr>
          <w:rFonts w:hint="eastAsia"/>
          <w:kern w:val="0"/>
          <w:lang w:val="en-US" w:eastAsia="zh-CN"/>
        </w:rPr>
      </w:pPr>
      <w:r>
        <w:rPr>
          <w:rFonts w:hint="eastAsia"/>
          <w:kern w:val="0"/>
          <w:lang w:val="en-US" w:eastAsia="zh-CN"/>
        </w:rPr>
        <w:t>市场监督管理部门应当会同公安机关、人民法院、人民检察院等健全知识产权快速协同保护机制，推动行政保护和司法保护相衔接，加强跨区域执法与司法协作，实现民营经济组织知识产权纠纷的源头预防与快速化解。</w:t>
      </w:r>
    </w:p>
    <w:p>
      <w:pPr>
        <w:spacing w:line="320" w:lineRule="exact"/>
        <w:rPr>
          <w:rFonts w:hint="eastAsia"/>
          <w:kern w:val="0"/>
          <w:lang w:val="en-US" w:eastAsia="zh-CN"/>
        </w:rPr>
      </w:pPr>
      <w:r>
        <w:rPr>
          <w:rFonts w:hint="eastAsia"/>
          <w:kern w:val="0"/>
          <w:lang w:val="en-US" w:eastAsia="zh-CN"/>
        </w:rPr>
        <w:t>第五十条  市、县（市、区）人民政府及其有关部门应当依托泉州市12345政务服务便民热线等渠道，构建全市统一受理、分类处置、按责交办、限时办结的民营经济组织诉求闭环处理机制，确保合理诉求及时有效处置。</w:t>
      </w:r>
    </w:p>
    <w:p>
      <w:pPr>
        <w:spacing w:line="320" w:lineRule="exact"/>
        <w:rPr>
          <w:rFonts w:hint="eastAsia"/>
          <w:kern w:val="0"/>
          <w:lang w:val="en-US" w:eastAsia="zh-CN"/>
        </w:rPr>
      </w:pPr>
      <w:r>
        <w:rPr>
          <w:rFonts w:hint="eastAsia"/>
          <w:kern w:val="0"/>
          <w:lang w:val="en-US" w:eastAsia="zh-CN"/>
        </w:rPr>
        <w:t>公安、市场监督管理、网信等有关部门应当建立健全涉企侵权快速协同响应机制，对违规异地执法、趋利性执法、民营经济组织内部腐败等行为采取有效规制措施，严厉打击编造传播虚假信息、敲诈勒索、恶意炒作、泄密侵权等干扰民营经济组织正常生产经营秩序的违法行为。</w:t>
      </w:r>
    </w:p>
    <w:p>
      <w:pPr>
        <w:spacing w:line="320" w:lineRule="exact"/>
        <w:rPr>
          <w:rFonts w:hint="eastAsia"/>
          <w:kern w:val="0"/>
          <w:lang w:val="en-US" w:eastAsia="zh-CN"/>
        </w:rPr>
      </w:pPr>
      <w:r>
        <w:rPr>
          <w:rFonts w:hint="eastAsia"/>
          <w:kern w:val="0"/>
          <w:lang w:val="en-US" w:eastAsia="zh-CN"/>
        </w:rPr>
        <w:t>市场监督管理等有关部门应当依法规范牟利性职业索赔行为，对不以保护合法权益为目的的索赔投诉，可以依法不予受理或者终止调解，建立投诉举报异常名录，并共享运用。</w:t>
      </w:r>
    </w:p>
    <w:p>
      <w:pPr>
        <w:spacing w:line="320" w:lineRule="exact"/>
        <w:rPr>
          <w:rFonts w:hint="eastAsia"/>
          <w:kern w:val="0"/>
          <w:lang w:val="en-US" w:eastAsia="zh-CN"/>
        </w:rPr>
      </w:pPr>
      <w:r>
        <w:rPr>
          <w:rFonts w:hint="eastAsia"/>
          <w:kern w:val="0"/>
          <w:lang w:val="en-US" w:eastAsia="zh-CN"/>
        </w:rPr>
        <w:t>第五十一条  市、县（市、区）人民政府应当会同人民法院健全调解、仲裁、行政裁决、行政复议、诉讼有机衔接的多元化纠纷解决机制，优化诉调对接流程，为包括民营经济组织在内的各类经济组织提供便捷高效的多元化争议解决服务。</w:t>
      </w:r>
    </w:p>
    <w:p>
      <w:pPr>
        <w:spacing w:line="320" w:lineRule="exact"/>
        <w:rPr>
          <w:rFonts w:hint="eastAsia"/>
          <w:kern w:val="0"/>
          <w:lang w:val="en-US" w:eastAsia="zh-CN"/>
        </w:rPr>
      </w:pPr>
      <w:r>
        <w:rPr>
          <w:rFonts w:hint="eastAsia"/>
          <w:kern w:val="0"/>
          <w:lang w:val="en-US" w:eastAsia="zh-CN"/>
        </w:rPr>
        <w:t>司法行政部门应当会同有关部门指导、推动具备条件的行业协会、商会和民营经济组织设立人民调解组织，开展行业性、专业性调解。</w:t>
      </w:r>
    </w:p>
    <w:p>
      <w:pPr>
        <w:spacing w:line="320" w:lineRule="exact"/>
        <w:rPr>
          <w:rFonts w:hint="eastAsia"/>
          <w:kern w:val="0"/>
          <w:lang w:val="en-US" w:eastAsia="zh-CN"/>
        </w:rPr>
      </w:pPr>
      <w:r>
        <w:rPr>
          <w:rFonts w:hint="eastAsia"/>
          <w:kern w:val="0"/>
          <w:lang w:val="en-US" w:eastAsia="zh-CN"/>
        </w:rPr>
        <w:t>市人民政府应当完善公共法律服务体系，发挥海丝中央法务区泉州片区集聚区功能，整合律师、会计、金融、公证、司法鉴定等资源，为民营经济组织提供法律等专业性服务。</w:t>
      </w:r>
    </w:p>
    <w:p>
      <w:pPr>
        <w:spacing w:line="320" w:lineRule="exact"/>
        <w:rPr>
          <w:rFonts w:hint="eastAsia"/>
          <w:kern w:val="0"/>
          <w:lang w:val="en-US" w:eastAsia="zh-CN"/>
        </w:rPr>
      </w:pPr>
      <w:r>
        <w:rPr>
          <w:rFonts w:hint="eastAsia"/>
          <w:kern w:val="0"/>
          <w:lang w:val="en-US" w:eastAsia="zh-CN"/>
        </w:rPr>
        <w:t>第五十二条  市、县（市、区）人民政府及其有关部门应当健全企业救治与退出机制，建立健全企业破产案件府院联动协调机制，依法统筹推进企业破产重整、和解、清算、信用修复工作，保障企业有序退出与资源优化配置。</w:t>
      </w:r>
    </w:p>
    <w:p>
      <w:pPr>
        <w:spacing w:line="320" w:lineRule="exact"/>
        <w:rPr>
          <w:rFonts w:hint="eastAsia"/>
          <w:kern w:val="0"/>
          <w:lang w:val="en-US" w:eastAsia="zh-CN"/>
        </w:rPr>
      </w:pPr>
      <w:r>
        <w:rPr>
          <w:rFonts w:hint="eastAsia"/>
          <w:kern w:val="0"/>
          <w:lang w:val="en-US" w:eastAsia="zh-CN"/>
        </w:rPr>
        <w:t>第五十三条  市、县（市、区）人民政府应当建立健全国家工作人员担当作为激励机制，支持和保障国家工作人员依法履职、主动服务、大胆探索，营造有利于干事创业的良好环境。</w:t>
      </w:r>
    </w:p>
    <w:p>
      <w:pPr>
        <w:spacing w:line="320" w:lineRule="exact"/>
        <w:rPr>
          <w:rFonts w:hint="eastAsia"/>
          <w:kern w:val="0"/>
          <w:lang w:val="en-US" w:eastAsia="zh-CN"/>
        </w:rPr>
      </w:pPr>
      <w:r>
        <w:rPr>
          <w:rFonts w:hint="eastAsia"/>
          <w:kern w:val="0"/>
          <w:lang w:val="en-US" w:eastAsia="zh-CN"/>
        </w:rPr>
        <w:t>第五十四条  市、县（市、区）人民政府及其有关部门应当建立容错纠错机制，对国家工作人员在探索创新中出现偏差、失误或者未能实现预期目标，但决策和实施程序未违反法律、法规规定，符合国家和省、市发展和改革方向，且勤勉尽责、未谋取私利、未恶意串通损害公共利益的，予以免除或者减轻责任。</w:t>
      </w:r>
    </w:p>
    <w:p>
      <w:pPr>
        <w:spacing w:line="320" w:lineRule="exact"/>
        <w:rPr>
          <w:rFonts w:hint="eastAsia"/>
          <w:kern w:val="0"/>
          <w:lang w:val="en-US" w:eastAsia="zh-CN"/>
        </w:rPr>
      </w:pPr>
      <w:r>
        <w:rPr>
          <w:rFonts w:hint="eastAsia"/>
          <w:kern w:val="0"/>
          <w:lang w:val="en-US" w:eastAsia="zh-CN"/>
        </w:rPr>
        <w:t>第五十五条  市、县（市、区）人民政府应当建立健全监督、评估机制，定期对本级人民政府有关部门、下级人民政府传承弘扬、创新发展“晋江经验”相关工作情况进行监督检查。</w:t>
      </w:r>
    </w:p>
    <w:p>
      <w:pPr>
        <w:spacing w:line="320" w:lineRule="exact"/>
        <w:rPr>
          <w:rFonts w:hint="eastAsia"/>
          <w:kern w:val="0"/>
          <w:lang w:val="en-US" w:eastAsia="zh-CN"/>
        </w:rPr>
      </w:pPr>
      <w:r>
        <w:rPr>
          <w:rFonts w:hint="eastAsia"/>
          <w:kern w:val="0"/>
          <w:lang w:val="en-US" w:eastAsia="zh-CN"/>
        </w:rPr>
        <w:br w:type="textWrapping"/>
      </w:r>
      <w:r>
        <w:rPr>
          <w:rFonts w:hint="eastAsia"/>
          <w:kern w:val="0"/>
          <w:lang w:val="en-US" w:eastAsia="zh-CN"/>
        </w:rPr>
        <w:t>第七章 附则</w:t>
      </w:r>
    </w:p>
    <w:p>
      <w:pPr>
        <w:spacing w:line="320" w:lineRule="exact"/>
        <w:rPr>
          <w:rFonts w:hint="eastAsia"/>
          <w:kern w:val="0"/>
          <w:lang w:val="en-US" w:eastAsia="zh-CN"/>
        </w:rPr>
      </w:pPr>
      <w:r>
        <w:rPr>
          <w:rFonts w:hint="eastAsia"/>
          <w:kern w:val="0"/>
          <w:lang w:val="en-US" w:eastAsia="zh-CN"/>
        </w:rPr>
        <w:t>第五十六条  本条例自2026年8月20日起施行。</w:t>
      </w:r>
    </w:p>
    <w:p>
      <w:pPr>
        <w:spacing w:line="320" w:lineRule="exact"/>
        <w:rPr>
          <w:rFonts w:hint="eastAsia"/>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（来源：泉州人大）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用好用足“晋江经验”制胜法宝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以正确政绩观引领21世纪“海丝名城”建设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lang w:val="en-US" w:eastAsia="zh-CN"/>
        </w:rPr>
      </w:pPr>
      <w:r>
        <w:rPr>
          <w:rFonts w:ascii="微软雅黑" w:hAnsi="微软雅黑" w:eastAsia="微软雅黑" w:cs="微软雅黑"/>
          <w:i w:val="0"/>
          <w:caps w:val="0"/>
          <w:spacing w:val="9"/>
          <w:sz w:val="21"/>
          <w:szCs w:val="21"/>
          <w:shd w:val="clear" w:fill="FFFFFF"/>
        </w:rPr>
        <w:t>文 | 张毅恭</w:t>
      </w:r>
    </w:p>
    <w:bookmarkEnd w:id="1"/>
    <w:bookmarkEnd w:id="2"/>
    <w:bookmarkEnd w:id="3"/>
    <w:bookmarkEnd w:id="4"/>
    <w:bookmarkEnd w:id="5"/>
    <w:bookmarkEnd w:id="6"/>
    <w:bookmarkEnd w:id="7"/>
    <w:bookmarkEnd w:id="8"/>
    <w:bookmarkEnd w:id="9"/>
    <w:bookmarkEnd w:id="10"/>
    <w:bookmarkEnd w:id="11"/>
    <w:bookmarkEnd w:id="12"/>
    <w:bookmarkEnd w:id="13"/>
    <w:p>
      <w:pPr>
        <w:spacing w:line="320" w:lineRule="exact"/>
        <w:rPr>
          <w:rFonts w:hint="eastAsia"/>
          <w:kern w:val="0"/>
          <w:lang w:val="en-US" w:eastAsia="zh-CN"/>
        </w:rPr>
      </w:pPr>
      <w:r>
        <w:rPr>
          <w:rFonts w:hint="eastAsia"/>
          <w:kern w:val="0"/>
          <w:lang w:val="en-US" w:eastAsia="zh-CN"/>
        </w:rPr>
        <w:t>习近平总书记强调，正确政绩观要求我们坚持从实际出发、按规律办事，通过科学决策和实干苦干，创造经得起实践和历史检验、真正造福人民、得到群众公认的业绩。习近平总书记在福建工作期间，六年七下晋江深入调研，总结提炼了以“六个始终坚持”和“正确处理好五大关系”为主要内涵的“晋江经验”，正是他带头树立和践行正确政绩观的实际行动。历经30年探索实践、传承弘扬、创新发展，“晋江经验”不久前被写入国家“十五五”规划纲要，从地方实践上升为全国示范。泉州从习近平总书记的关心关怀中汲取奋进力量，把“晋江经验”这一制胜法宝用好用足，坚持立党为公、为民造福、科学决策、真抓实干，以正确政绩观引领21世纪“海丝名城”建设、推动泉州高质量发展。</w:t>
      </w:r>
    </w:p>
    <w:p>
      <w:pPr>
        <w:spacing w:line="320" w:lineRule="exact"/>
        <w:rPr>
          <w:rFonts w:hint="eastAsia"/>
          <w:kern w:val="0"/>
          <w:lang w:val="en-US" w:eastAsia="zh-CN"/>
        </w:rPr>
      </w:pPr>
      <w:r>
        <w:rPr>
          <w:rFonts w:hint="eastAsia"/>
          <w:kern w:val="0"/>
          <w:lang w:val="en-US" w:eastAsia="zh-CN"/>
        </w:rPr>
        <w:t>“深耕潜绩”和“做实显绩”相济，校准政绩观的航向坐标。“晋江经验”首要一条是“始终坚持以发展社会生产力为改革和发展的根本方向”，就是要摒弃盲目求快、唯GDP论英雄的粗放式增长。泉州谋划“十五五”，把握其在全国全省现代化建设全局中的战略定位，扛牢建设两岸融合发展示范区、勇当新时代民营经济强省战略主力军的使命，提出“今后五年人均地区生产总值接近或达到中等发达国家水平”“在基本实现社会主义现代化中走在前列”等奋斗目标，既凸显“经济大市挑大梁”的主动担当，更保持“计长远利全局”的战略主动。</w:t>
      </w:r>
    </w:p>
    <w:p>
      <w:pPr>
        <w:spacing w:line="320" w:lineRule="exact"/>
        <w:rPr>
          <w:rFonts w:hint="eastAsia"/>
          <w:kern w:val="0"/>
          <w:lang w:val="en-US" w:eastAsia="zh-CN"/>
        </w:rPr>
      </w:pPr>
      <w:r>
        <w:rPr>
          <w:rFonts w:hint="eastAsia"/>
          <w:kern w:val="0"/>
          <w:lang w:val="en-US" w:eastAsia="zh-CN"/>
        </w:rPr>
        <w:t>“遵循规律”和“因地制宜”并重，把牢政绩观的实践准绳。“晋江经验”最鲜明的特色是坚守实体经济，特别是“始终坚持立足本地优势和选择符合自身条件的最佳方式加快经济发展”，就是要坚持从实际出发、按规律办事。泉州自觉把“优势是什么、自身条件能做什么”作为决策前提，在“产、城、人”融合上实干苦干。产业端，依托“南高新、北石化、环湾崛起、县域做强”的空间布局，衔接省上“555X”现代产业格局，工贸并举构建“955”现代产业集群，建成1个国家先进制造业集群、7个中小企业特色产业集群，入选首批国家新型工业化示范区创建城市。城市端，牢记“正确处理好工业化与城市化的关系”，以“抓城建提品质”“聚城畅通”等为牵引，提升环泉州湾中心城区的首位度和辐射力，擦亮“世遗之城”“时尚之都”“世界美食之都”三张金字招牌，实现社会消费品零售总额居全国城市第十二位、全省第一位。民生端，以“党建+”邻里中心、综治中心、基层小微权力监督平台等构建主动创稳体系，探索“1+3+N”共同富裕路径，培育20个田园风光、青山风韵、渔村风情系列农文旅商共富场景，建设美丽泉州、健康泉州，让发展成果更多更公平惠及全体人民。</w:t>
      </w:r>
    </w:p>
    <w:p>
      <w:pPr>
        <w:spacing w:line="320" w:lineRule="exact"/>
        <w:rPr>
          <w:rFonts w:hint="eastAsia"/>
          <w:kern w:val="0"/>
          <w:lang w:val="en-US" w:eastAsia="zh-CN"/>
        </w:rPr>
      </w:pPr>
      <w:r>
        <w:rPr>
          <w:rFonts w:hint="eastAsia"/>
          <w:kern w:val="0"/>
          <w:lang w:val="en-US" w:eastAsia="zh-CN"/>
        </w:rPr>
        <w:t>“有效市场”和“有为政府”共振，明确政绩观的边界尺度。“处理好发展市场经济与建设新型服务型政府之间的关系”是“晋江经验”的精髓要义之一。泉州弘扬政企互动好传统，构建“法治护企、政策找企、泉心泉意帮企、万名干部进万企”的亲清服务矩阵，连续三届获评营商环境全国创新城市、全省标杆城市。坚持严管厚爱相结合，既上线“亲清泉州”云监督中心护航民营经济发展，又出台营商环境领域尽职免责与容错纠错“五项机制”为实干担当者撑腰，进一步激发活力、释放潜力。</w:t>
      </w:r>
    </w:p>
    <w:p>
      <w:pPr>
        <w:spacing w:line="320" w:lineRule="exact"/>
        <w:rPr>
          <w:rFonts w:hint="eastAsia" w:eastAsia="宋体"/>
          <w:lang w:val="en-US" w:eastAsia="zh-CN"/>
        </w:rPr>
      </w:pPr>
      <w:r>
        <w:rPr>
          <w:rFonts w:hint="eastAsia"/>
          <w:kern w:val="0"/>
          <w:lang w:val="en-US" w:eastAsia="zh-CN"/>
        </w:rPr>
        <w:t>（来源：《海峡通讯》2026年第09期 | 5月上）</w:t>
      </w:r>
    </w:p>
    <w:sectPr>
      <w:pgSz w:w="11907" w:h="16840"/>
      <w:pgMar w:top="1440" w:right="164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经典楷体简">
    <w:altName w:val="宋体"/>
    <w:panose1 w:val="00000000000000000000"/>
    <w:charset w:val="86"/>
    <w:family w:val="modern"/>
    <w:pitch w:val="default"/>
    <w:sig w:usb0="00000000" w:usb1="00000000" w:usb2="0000001E"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fldChar w:fldCharType="begin"/>
    </w:r>
    <w:r>
      <w:instrText xml:space="preserve"> PAGE   \* MERGEFORMAT </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OWYyNTNjNjk1MzdiYjA5MTg3ZmI5NmJmZDhmMWYifQ=="/>
  </w:docVars>
  <w:rsids>
    <w:rsidRoot w:val="004E3E5A"/>
    <w:rsid w:val="00000079"/>
    <w:rsid w:val="000004EA"/>
    <w:rsid w:val="00000A52"/>
    <w:rsid w:val="00000F0B"/>
    <w:rsid w:val="00001564"/>
    <w:rsid w:val="000022AB"/>
    <w:rsid w:val="000022B9"/>
    <w:rsid w:val="0000281B"/>
    <w:rsid w:val="00003C19"/>
    <w:rsid w:val="0000559F"/>
    <w:rsid w:val="00005E5C"/>
    <w:rsid w:val="00006F26"/>
    <w:rsid w:val="0001530C"/>
    <w:rsid w:val="0001565A"/>
    <w:rsid w:val="00015681"/>
    <w:rsid w:val="00016C40"/>
    <w:rsid w:val="000170CA"/>
    <w:rsid w:val="000176B7"/>
    <w:rsid w:val="000176CC"/>
    <w:rsid w:val="00020CFF"/>
    <w:rsid w:val="00020ED9"/>
    <w:rsid w:val="00021846"/>
    <w:rsid w:val="00021C92"/>
    <w:rsid w:val="000230A3"/>
    <w:rsid w:val="00023179"/>
    <w:rsid w:val="000233A6"/>
    <w:rsid w:val="00025637"/>
    <w:rsid w:val="00026A47"/>
    <w:rsid w:val="00026EC8"/>
    <w:rsid w:val="00035065"/>
    <w:rsid w:val="000350D4"/>
    <w:rsid w:val="0003572B"/>
    <w:rsid w:val="00035DEB"/>
    <w:rsid w:val="0004021A"/>
    <w:rsid w:val="00040C72"/>
    <w:rsid w:val="00041245"/>
    <w:rsid w:val="00041473"/>
    <w:rsid w:val="00041C3A"/>
    <w:rsid w:val="00043E2F"/>
    <w:rsid w:val="00044DA0"/>
    <w:rsid w:val="00044E82"/>
    <w:rsid w:val="0004508C"/>
    <w:rsid w:val="00045565"/>
    <w:rsid w:val="00046ADA"/>
    <w:rsid w:val="00047D1E"/>
    <w:rsid w:val="00051783"/>
    <w:rsid w:val="000517D6"/>
    <w:rsid w:val="00051802"/>
    <w:rsid w:val="000522C5"/>
    <w:rsid w:val="0005525D"/>
    <w:rsid w:val="00055B0F"/>
    <w:rsid w:val="00056177"/>
    <w:rsid w:val="0006128E"/>
    <w:rsid w:val="00061472"/>
    <w:rsid w:val="000616AB"/>
    <w:rsid w:val="00061D95"/>
    <w:rsid w:val="00062109"/>
    <w:rsid w:val="00062324"/>
    <w:rsid w:val="000648D8"/>
    <w:rsid w:val="00064BC2"/>
    <w:rsid w:val="0006627A"/>
    <w:rsid w:val="000703C4"/>
    <w:rsid w:val="000709D1"/>
    <w:rsid w:val="00070EAA"/>
    <w:rsid w:val="0007144F"/>
    <w:rsid w:val="000725D5"/>
    <w:rsid w:val="00072FAC"/>
    <w:rsid w:val="00074365"/>
    <w:rsid w:val="0007714C"/>
    <w:rsid w:val="00081325"/>
    <w:rsid w:val="00081F72"/>
    <w:rsid w:val="00082C59"/>
    <w:rsid w:val="00082EE1"/>
    <w:rsid w:val="000832D1"/>
    <w:rsid w:val="00083CE0"/>
    <w:rsid w:val="00083D76"/>
    <w:rsid w:val="00085FC8"/>
    <w:rsid w:val="000864A6"/>
    <w:rsid w:val="000878FE"/>
    <w:rsid w:val="00087A8D"/>
    <w:rsid w:val="00090B7B"/>
    <w:rsid w:val="00090C5B"/>
    <w:rsid w:val="00090C7A"/>
    <w:rsid w:val="0009171A"/>
    <w:rsid w:val="00092238"/>
    <w:rsid w:val="000927BB"/>
    <w:rsid w:val="0009454F"/>
    <w:rsid w:val="00095A66"/>
    <w:rsid w:val="00097104"/>
    <w:rsid w:val="00097BBA"/>
    <w:rsid w:val="000A3142"/>
    <w:rsid w:val="000A3651"/>
    <w:rsid w:val="000A3A0D"/>
    <w:rsid w:val="000A5297"/>
    <w:rsid w:val="000A5684"/>
    <w:rsid w:val="000A5999"/>
    <w:rsid w:val="000A772A"/>
    <w:rsid w:val="000B02BB"/>
    <w:rsid w:val="000B0D3E"/>
    <w:rsid w:val="000B1259"/>
    <w:rsid w:val="000B133B"/>
    <w:rsid w:val="000B18E8"/>
    <w:rsid w:val="000B1D82"/>
    <w:rsid w:val="000B25F8"/>
    <w:rsid w:val="000B277B"/>
    <w:rsid w:val="000B282B"/>
    <w:rsid w:val="000B2850"/>
    <w:rsid w:val="000B4092"/>
    <w:rsid w:val="000B4A87"/>
    <w:rsid w:val="000C2707"/>
    <w:rsid w:val="000C294B"/>
    <w:rsid w:val="000C2C03"/>
    <w:rsid w:val="000C322D"/>
    <w:rsid w:val="000C353E"/>
    <w:rsid w:val="000C60A4"/>
    <w:rsid w:val="000C6836"/>
    <w:rsid w:val="000C7055"/>
    <w:rsid w:val="000C76CC"/>
    <w:rsid w:val="000C777F"/>
    <w:rsid w:val="000C7A90"/>
    <w:rsid w:val="000D097D"/>
    <w:rsid w:val="000D0E98"/>
    <w:rsid w:val="000D15AC"/>
    <w:rsid w:val="000D1F88"/>
    <w:rsid w:val="000D28A8"/>
    <w:rsid w:val="000D40AE"/>
    <w:rsid w:val="000D477B"/>
    <w:rsid w:val="000D69F7"/>
    <w:rsid w:val="000E06FF"/>
    <w:rsid w:val="000E23A7"/>
    <w:rsid w:val="000E5161"/>
    <w:rsid w:val="000E5388"/>
    <w:rsid w:val="000F2233"/>
    <w:rsid w:val="000F3172"/>
    <w:rsid w:val="000F4012"/>
    <w:rsid w:val="000F4618"/>
    <w:rsid w:val="000F4CE6"/>
    <w:rsid w:val="000F52A1"/>
    <w:rsid w:val="000F56BF"/>
    <w:rsid w:val="000F5BC9"/>
    <w:rsid w:val="000F5BFF"/>
    <w:rsid w:val="000F643F"/>
    <w:rsid w:val="00102228"/>
    <w:rsid w:val="00106476"/>
    <w:rsid w:val="00106D9E"/>
    <w:rsid w:val="00107FCF"/>
    <w:rsid w:val="00112696"/>
    <w:rsid w:val="00115A43"/>
    <w:rsid w:val="00116553"/>
    <w:rsid w:val="00116786"/>
    <w:rsid w:val="001215DA"/>
    <w:rsid w:val="00125CCA"/>
    <w:rsid w:val="0012643F"/>
    <w:rsid w:val="00127761"/>
    <w:rsid w:val="00130F88"/>
    <w:rsid w:val="00130FEB"/>
    <w:rsid w:val="0013151E"/>
    <w:rsid w:val="0013207F"/>
    <w:rsid w:val="00133053"/>
    <w:rsid w:val="001340AE"/>
    <w:rsid w:val="001406E7"/>
    <w:rsid w:val="00141B66"/>
    <w:rsid w:val="00141D54"/>
    <w:rsid w:val="001420F8"/>
    <w:rsid w:val="0014654B"/>
    <w:rsid w:val="00146DFC"/>
    <w:rsid w:val="0015060E"/>
    <w:rsid w:val="001528C6"/>
    <w:rsid w:val="00152AC5"/>
    <w:rsid w:val="00155000"/>
    <w:rsid w:val="00156431"/>
    <w:rsid w:val="0015764C"/>
    <w:rsid w:val="00157DF9"/>
    <w:rsid w:val="00160C81"/>
    <w:rsid w:val="00161BF7"/>
    <w:rsid w:val="00161C4C"/>
    <w:rsid w:val="0016249E"/>
    <w:rsid w:val="00162830"/>
    <w:rsid w:val="00162B38"/>
    <w:rsid w:val="00162F48"/>
    <w:rsid w:val="00163137"/>
    <w:rsid w:val="00163845"/>
    <w:rsid w:val="00163A1D"/>
    <w:rsid w:val="00163F84"/>
    <w:rsid w:val="00166A37"/>
    <w:rsid w:val="0017047C"/>
    <w:rsid w:val="001715CF"/>
    <w:rsid w:val="00171BA1"/>
    <w:rsid w:val="00171CEA"/>
    <w:rsid w:val="001721D1"/>
    <w:rsid w:val="0017301A"/>
    <w:rsid w:val="00173B83"/>
    <w:rsid w:val="00175710"/>
    <w:rsid w:val="00175AA4"/>
    <w:rsid w:val="00177AB0"/>
    <w:rsid w:val="00177C32"/>
    <w:rsid w:val="00180206"/>
    <w:rsid w:val="00180D0B"/>
    <w:rsid w:val="00180F60"/>
    <w:rsid w:val="001818AE"/>
    <w:rsid w:val="001827EF"/>
    <w:rsid w:val="001844E8"/>
    <w:rsid w:val="001858EB"/>
    <w:rsid w:val="00185C0F"/>
    <w:rsid w:val="00185E16"/>
    <w:rsid w:val="001866E5"/>
    <w:rsid w:val="001869B3"/>
    <w:rsid w:val="00190D15"/>
    <w:rsid w:val="00192E96"/>
    <w:rsid w:val="00193A10"/>
    <w:rsid w:val="00195F59"/>
    <w:rsid w:val="00196D59"/>
    <w:rsid w:val="00197926"/>
    <w:rsid w:val="001979B1"/>
    <w:rsid w:val="00197D45"/>
    <w:rsid w:val="00197D78"/>
    <w:rsid w:val="001A33D4"/>
    <w:rsid w:val="001A37E0"/>
    <w:rsid w:val="001A44C6"/>
    <w:rsid w:val="001A4736"/>
    <w:rsid w:val="001A490B"/>
    <w:rsid w:val="001B0070"/>
    <w:rsid w:val="001B09B9"/>
    <w:rsid w:val="001B0C6A"/>
    <w:rsid w:val="001B45E5"/>
    <w:rsid w:val="001B484E"/>
    <w:rsid w:val="001B4AC7"/>
    <w:rsid w:val="001B533B"/>
    <w:rsid w:val="001B6583"/>
    <w:rsid w:val="001B6951"/>
    <w:rsid w:val="001B6FFF"/>
    <w:rsid w:val="001B7AF0"/>
    <w:rsid w:val="001C07A0"/>
    <w:rsid w:val="001C0E25"/>
    <w:rsid w:val="001C1CDA"/>
    <w:rsid w:val="001C3FAA"/>
    <w:rsid w:val="001C4089"/>
    <w:rsid w:val="001C4E2F"/>
    <w:rsid w:val="001C5ADB"/>
    <w:rsid w:val="001C65D3"/>
    <w:rsid w:val="001C6897"/>
    <w:rsid w:val="001C7D1A"/>
    <w:rsid w:val="001D192E"/>
    <w:rsid w:val="001D2790"/>
    <w:rsid w:val="001D2E4B"/>
    <w:rsid w:val="001D736B"/>
    <w:rsid w:val="001D7D2B"/>
    <w:rsid w:val="001E0B06"/>
    <w:rsid w:val="001E398F"/>
    <w:rsid w:val="001E57A5"/>
    <w:rsid w:val="001E67A2"/>
    <w:rsid w:val="001E776E"/>
    <w:rsid w:val="001E77A3"/>
    <w:rsid w:val="001E7AF0"/>
    <w:rsid w:val="001F0233"/>
    <w:rsid w:val="001F0D17"/>
    <w:rsid w:val="001F14B3"/>
    <w:rsid w:val="001F1D76"/>
    <w:rsid w:val="001F2043"/>
    <w:rsid w:val="001F29F3"/>
    <w:rsid w:val="001F54FF"/>
    <w:rsid w:val="001F5B07"/>
    <w:rsid w:val="001F67F5"/>
    <w:rsid w:val="001F7123"/>
    <w:rsid w:val="001F7369"/>
    <w:rsid w:val="00201776"/>
    <w:rsid w:val="00203484"/>
    <w:rsid w:val="002122B1"/>
    <w:rsid w:val="00212A41"/>
    <w:rsid w:val="002138A5"/>
    <w:rsid w:val="00217466"/>
    <w:rsid w:val="0022207C"/>
    <w:rsid w:val="00223E2D"/>
    <w:rsid w:val="002245A0"/>
    <w:rsid w:val="00226695"/>
    <w:rsid w:val="00227588"/>
    <w:rsid w:val="002323DC"/>
    <w:rsid w:val="00232BAD"/>
    <w:rsid w:val="00236CD4"/>
    <w:rsid w:val="00237207"/>
    <w:rsid w:val="00241CA6"/>
    <w:rsid w:val="00242FB5"/>
    <w:rsid w:val="00243838"/>
    <w:rsid w:val="002439AE"/>
    <w:rsid w:val="00243CD4"/>
    <w:rsid w:val="00245D13"/>
    <w:rsid w:val="002465F2"/>
    <w:rsid w:val="00246B39"/>
    <w:rsid w:val="00250465"/>
    <w:rsid w:val="002505AD"/>
    <w:rsid w:val="002521F5"/>
    <w:rsid w:val="00255BD3"/>
    <w:rsid w:val="002567BD"/>
    <w:rsid w:val="00256BD2"/>
    <w:rsid w:val="00257D0A"/>
    <w:rsid w:val="002621CD"/>
    <w:rsid w:val="002628C6"/>
    <w:rsid w:val="00262E69"/>
    <w:rsid w:val="00263AC2"/>
    <w:rsid w:val="00263AF1"/>
    <w:rsid w:val="002641A8"/>
    <w:rsid w:val="00264211"/>
    <w:rsid w:val="0026425A"/>
    <w:rsid w:val="0026536A"/>
    <w:rsid w:val="00266042"/>
    <w:rsid w:val="002667D7"/>
    <w:rsid w:val="00267A82"/>
    <w:rsid w:val="00267DCA"/>
    <w:rsid w:val="00272019"/>
    <w:rsid w:val="0027358E"/>
    <w:rsid w:val="00273693"/>
    <w:rsid w:val="002746DC"/>
    <w:rsid w:val="00277E28"/>
    <w:rsid w:val="00280289"/>
    <w:rsid w:val="00282B33"/>
    <w:rsid w:val="00283A7E"/>
    <w:rsid w:val="00286586"/>
    <w:rsid w:val="00286970"/>
    <w:rsid w:val="00292A46"/>
    <w:rsid w:val="00292C15"/>
    <w:rsid w:val="00293B32"/>
    <w:rsid w:val="00295152"/>
    <w:rsid w:val="00295E15"/>
    <w:rsid w:val="00296105"/>
    <w:rsid w:val="002977CF"/>
    <w:rsid w:val="002979D8"/>
    <w:rsid w:val="002A06D6"/>
    <w:rsid w:val="002A3C18"/>
    <w:rsid w:val="002A4120"/>
    <w:rsid w:val="002A429B"/>
    <w:rsid w:val="002A4B32"/>
    <w:rsid w:val="002A5730"/>
    <w:rsid w:val="002A586F"/>
    <w:rsid w:val="002A58C4"/>
    <w:rsid w:val="002A6DF0"/>
    <w:rsid w:val="002A70F7"/>
    <w:rsid w:val="002A73C1"/>
    <w:rsid w:val="002B002A"/>
    <w:rsid w:val="002B01D4"/>
    <w:rsid w:val="002B141E"/>
    <w:rsid w:val="002B1F86"/>
    <w:rsid w:val="002B32DD"/>
    <w:rsid w:val="002B3CEA"/>
    <w:rsid w:val="002B3DA7"/>
    <w:rsid w:val="002B6184"/>
    <w:rsid w:val="002B6A0A"/>
    <w:rsid w:val="002B6C6B"/>
    <w:rsid w:val="002B7197"/>
    <w:rsid w:val="002C00DA"/>
    <w:rsid w:val="002C0E6F"/>
    <w:rsid w:val="002C1B94"/>
    <w:rsid w:val="002C294B"/>
    <w:rsid w:val="002C2D31"/>
    <w:rsid w:val="002C3881"/>
    <w:rsid w:val="002C489F"/>
    <w:rsid w:val="002C66F7"/>
    <w:rsid w:val="002C7EA3"/>
    <w:rsid w:val="002D0B57"/>
    <w:rsid w:val="002D0D3A"/>
    <w:rsid w:val="002D0FA5"/>
    <w:rsid w:val="002D17B1"/>
    <w:rsid w:val="002D236F"/>
    <w:rsid w:val="002D24E1"/>
    <w:rsid w:val="002D4216"/>
    <w:rsid w:val="002D4735"/>
    <w:rsid w:val="002D5708"/>
    <w:rsid w:val="002D5B9B"/>
    <w:rsid w:val="002D6581"/>
    <w:rsid w:val="002D77AA"/>
    <w:rsid w:val="002E2131"/>
    <w:rsid w:val="002E4354"/>
    <w:rsid w:val="002E4C51"/>
    <w:rsid w:val="002E5201"/>
    <w:rsid w:val="002E59BC"/>
    <w:rsid w:val="002E60D6"/>
    <w:rsid w:val="002E64A2"/>
    <w:rsid w:val="002E7715"/>
    <w:rsid w:val="002E79F7"/>
    <w:rsid w:val="002F13A6"/>
    <w:rsid w:val="002F190E"/>
    <w:rsid w:val="002F1AE4"/>
    <w:rsid w:val="002F2AAB"/>
    <w:rsid w:val="002F2DFF"/>
    <w:rsid w:val="002F3698"/>
    <w:rsid w:val="002F58D9"/>
    <w:rsid w:val="002F6096"/>
    <w:rsid w:val="002F6506"/>
    <w:rsid w:val="002F68C3"/>
    <w:rsid w:val="002F6C35"/>
    <w:rsid w:val="002F7452"/>
    <w:rsid w:val="002F74AF"/>
    <w:rsid w:val="00300D11"/>
    <w:rsid w:val="00301DAB"/>
    <w:rsid w:val="00302E8C"/>
    <w:rsid w:val="00303E45"/>
    <w:rsid w:val="00304904"/>
    <w:rsid w:val="00304CE9"/>
    <w:rsid w:val="0030507A"/>
    <w:rsid w:val="003050C4"/>
    <w:rsid w:val="0030526D"/>
    <w:rsid w:val="00305369"/>
    <w:rsid w:val="0030675E"/>
    <w:rsid w:val="00306B06"/>
    <w:rsid w:val="003070C2"/>
    <w:rsid w:val="003077AE"/>
    <w:rsid w:val="00310951"/>
    <w:rsid w:val="00311F99"/>
    <w:rsid w:val="003120EA"/>
    <w:rsid w:val="003132DE"/>
    <w:rsid w:val="003135D2"/>
    <w:rsid w:val="00315072"/>
    <w:rsid w:val="0031602E"/>
    <w:rsid w:val="003163D7"/>
    <w:rsid w:val="00317222"/>
    <w:rsid w:val="003206EE"/>
    <w:rsid w:val="00320CBE"/>
    <w:rsid w:val="003212E4"/>
    <w:rsid w:val="00322225"/>
    <w:rsid w:val="00322C2F"/>
    <w:rsid w:val="00323704"/>
    <w:rsid w:val="00323C56"/>
    <w:rsid w:val="00323FA9"/>
    <w:rsid w:val="0032542A"/>
    <w:rsid w:val="00326FE5"/>
    <w:rsid w:val="0033105A"/>
    <w:rsid w:val="00333A96"/>
    <w:rsid w:val="00334AC4"/>
    <w:rsid w:val="00334C39"/>
    <w:rsid w:val="00340D1D"/>
    <w:rsid w:val="00344D2C"/>
    <w:rsid w:val="00346C42"/>
    <w:rsid w:val="00346E6E"/>
    <w:rsid w:val="00346E7F"/>
    <w:rsid w:val="00347058"/>
    <w:rsid w:val="00347942"/>
    <w:rsid w:val="0035206F"/>
    <w:rsid w:val="003520D0"/>
    <w:rsid w:val="0035274B"/>
    <w:rsid w:val="00354DA1"/>
    <w:rsid w:val="003557F0"/>
    <w:rsid w:val="003567B8"/>
    <w:rsid w:val="0036097D"/>
    <w:rsid w:val="00361F5C"/>
    <w:rsid w:val="00362273"/>
    <w:rsid w:val="00364858"/>
    <w:rsid w:val="00364A8D"/>
    <w:rsid w:val="00364E29"/>
    <w:rsid w:val="00366147"/>
    <w:rsid w:val="003679A4"/>
    <w:rsid w:val="00367D28"/>
    <w:rsid w:val="00370072"/>
    <w:rsid w:val="003700E4"/>
    <w:rsid w:val="003717A4"/>
    <w:rsid w:val="00371B48"/>
    <w:rsid w:val="0037294D"/>
    <w:rsid w:val="00373A11"/>
    <w:rsid w:val="003754E8"/>
    <w:rsid w:val="0037674E"/>
    <w:rsid w:val="003774B2"/>
    <w:rsid w:val="0037785F"/>
    <w:rsid w:val="003805F5"/>
    <w:rsid w:val="00380BD8"/>
    <w:rsid w:val="00382389"/>
    <w:rsid w:val="003836A6"/>
    <w:rsid w:val="00383974"/>
    <w:rsid w:val="0038424F"/>
    <w:rsid w:val="00384A06"/>
    <w:rsid w:val="00384C0E"/>
    <w:rsid w:val="00384D3A"/>
    <w:rsid w:val="00387FA0"/>
    <w:rsid w:val="00390758"/>
    <w:rsid w:val="00390800"/>
    <w:rsid w:val="00393208"/>
    <w:rsid w:val="003933C8"/>
    <w:rsid w:val="003947DD"/>
    <w:rsid w:val="00395839"/>
    <w:rsid w:val="00395F72"/>
    <w:rsid w:val="003A0027"/>
    <w:rsid w:val="003A05E3"/>
    <w:rsid w:val="003A21D0"/>
    <w:rsid w:val="003A281A"/>
    <w:rsid w:val="003A3BFC"/>
    <w:rsid w:val="003A7D7A"/>
    <w:rsid w:val="003A7F3C"/>
    <w:rsid w:val="003B25AA"/>
    <w:rsid w:val="003B30F3"/>
    <w:rsid w:val="003B5D0C"/>
    <w:rsid w:val="003B5EB3"/>
    <w:rsid w:val="003B7FE8"/>
    <w:rsid w:val="003C0032"/>
    <w:rsid w:val="003C09CE"/>
    <w:rsid w:val="003C0E67"/>
    <w:rsid w:val="003C1E7C"/>
    <w:rsid w:val="003C2A9E"/>
    <w:rsid w:val="003C72B0"/>
    <w:rsid w:val="003D05CE"/>
    <w:rsid w:val="003D1088"/>
    <w:rsid w:val="003D1638"/>
    <w:rsid w:val="003D2D5D"/>
    <w:rsid w:val="003D3222"/>
    <w:rsid w:val="003D3D30"/>
    <w:rsid w:val="003D4447"/>
    <w:rsid w:val="003D5DCA"/>
    <w:rsid w:val="003D6AAA"/>
    <w:rsid w:val="003D7F8A"/>
    <w:rsid w:val="003E134E"/>
    <w:rsid w:val="003E4C7F"/>
    <w:rsid w:val="003E4DFF"/>
    <w:rsid w:val="003E5149"/>
    <w:rsid w:val="003E5403"/>
    <w:rsid w:val="003E70EE"/>
    <w:rsid w:val="003E7550"/>
    <w:rsid w:val="003E7EEB"/>
    <w:rsid w:val="003F3E5B"/>
    <w:rsid w:val="003F516A"/>
    <w:rsid w:val="003F6331"/>
    <w:rsid w:val="003F675A"/>
    <w:rsid w:val="004003BC"/>
    <w:rsid w:val="00400450"/>
    <w:rsid w:val="00400872"/>
    <w:rsid w:val="00401542"/>
    <w:rsid w:val="00401D0C"/>
    <w:rsid w:val="00402E7F"/>
    <w:rsid w:val="004037B7"/>
    <w:rsid w:val="00404533"/>
    <w:rsid w:val="004060C0"/>
    <w:rsid w:val="004061BD"/>
    <w:rsid w:val="00406404"/>
    <w:rsid w:val="00406F8D"/>
    <w:rsid w:val="0041012E"/>
    <w:rsid w:val="00410D2A"/>
    <w:rsid w:val="00410F0E"/>
    <w:rsid w:val="0041131D"/>
    <w:rsid w:val="00411F4E"/>
    <w:rsid w:val="00412A64"/>
    <w:rsid w:val="00412AF8"/>
    <w:rsid w:val="0041304F"/>
    <w:rsid w:val="00413616"/>
    <w:rsid w:val="00413838"/>
    <w:rsid w:val="00414E51"/>
    <w:rsid w:val="00414F99"/>
    <w:rsid w:val="0041526C"/>
    <w:rsid w:val="004159FB"/>
    <w:rsid w:val="00415E51"/>
    <w:rsid w:val="00416696"/>
    <w:rsid w:val="00417777"/>
    <w:rsid w:val="004201AD"/>
    <w:rsid w:val="0042035E"/>
    <w:rsid w:val="00420B3E"/>
    <w:rsid w:val="00422DFE"/>
    <w:rsid w:val="00422E9B"/>
    <w:rsid w:val="00423EC5"/>
    <w:rsid w:val="00424BED"/>
    <w:rsid w:val="00425B54"/>
    <w:rsid w:val="00426A7D"/>
    <w:rsid w:val="00426D81"/>
    <w:rsid w:val="004307CD"/>
    <w:rsid w:val="00431166"/>
    <w:rsid w:val="004316CD"/>
    <w:rsid w:val="00431C7F"/>
    <w:rsid w:val="004321BE"/>
    <w:rsid w:val="00435166"/>
    <w:rsid w:val="00436672"/>
    <w:rsid w:val="0043674B"/>
    <w:rsid w:val="0043679E"/>
    <w:rsid w:val="00437275"/>
    <w:rsid w:val="00437503"/>
    <w:rsid w:val="00437A8F"/>
    <w:rsid w:val="00437B75"/>
    <w:rsid w:val="00437E4D"/>
    <w:rsid w:val="004411D7"/>
    <w:rsid w:val="00442475"/>
    <w:rsid w:val="00443005"/>
    <w:rsid w:val="004447D6"/>
    <w:rsid w:val="004449ED"/>
    <w:rsid w:val="00444AEA"/>
    <w:rsid w:val="004462AF"/>
    <w:rsid w:val="00447076"/>
    <w:rsid w:val="00450046"/>
    <w:rsid w:val="0045019C"/>
    <w:rsid w:val="00450FF6"/>
    <w:rsid w:val="00453699"/>
    <w:rsid w:val="00453900"/>
    <w:rsid w:val="004539E6"/>
    <w:rsid w:val="0045464F"/>
    <w:rsid w:val="00454F26"/>
    <w:rsid w:val="004553CB"/>
    <w:rsid w:val="00456F05"/>
    <w:rsid w:val="0045709B"/>
    <w:rsid w:val="0045754C"/>
    <w:rsid w:val="00462544"/>
    <w:rsid w:val="004627DE"/>
    <w:rsid w:val="00462AA8"/>
    <w:rsid w:val="0046332D"/>
    <w:rsid w:val="00463B2A"/>
    <w:rsid w:val="00463BC7"/>
    <w:rsid w:val="00463D07"/>
    <w:rsid w:val="00463F71"/>
    <w:rsid w:val="00464ABF"/>
    <w:rsid w:val="0046762C"/>
    <w:rsid w:val="004676C3"/>
    <w:rsid w:val="00470675"/>
    <w:rsid w:val="004706BB"/>
    <w:rsid w:val="004706C2"/>
    <w:rsid w:val="00470CA0"/>
    <w:rsid w:val="0047182C"/>
    <w:rsid w:val="00473428"/>
    <w:rsid w:val="00473B3E"/>
    <w:rsid w:val="00473C78"/>
    <w:rsid w:val="00475B5E"/>
    <w:rsid w:val="00475DC3"/>
    <w:rsid w:val="004767A9"/>
    <w:rsid w:val="00477126"/>
    <w:rsid w:val="00480A2D"/>
    <w:rsid w:val="004844BA"/>
    <w:rsid w:val="0048450B"/>
    <w:rsid w:val="0048755C"/>
    <w:rsid w:val="004905BD"/>
    <w:rsid w:val="004906C3"/>
    <w:rsid w:val="00490781"/>
    <w:rsid w:val="00490994"/>
    <w:rsid w:val="00491294"/>
    <w:rsid w:val="00493DD7"/>
    <w:rsid w:val="004941A5"/>
    <w:rsid w:val="00494FBE"/>
    <w:rsid w:val="00496806"/>
    <w:rsid w:val="00496CC0"/>
    <w:rsid w:val="00497EF3"/>
    <w:rsid w:val="004A054C"/>
    <w:rsid w:val="004A1087"/>
    <w:rsid w:val="004A2801"/>
    <w:rsid w:val="004A2F6F"/>
    <w:rsid w:val="004A525D"/>
    <w:rsid w:val="004A546F"/>
    <w:rsid w:val="004A6D14"/>
    <w:rsid w:val="004A74A1"/>
    <w:rsid w:val="004A7688"/>
    <w:rsid w:val="004A79F5"/>
    <w:rsid w:val="004B07AB"/>
    <w:rsid w:val="004B0C6D"/>
    <w:rsid w:val="004B0D82"/>
    <w:rsid w:val="004B33DD"/>
    <w:rsid w:val="004B3AD1"/>
    <w:rsid w:val="004C0902"/>
    <w:rsid w:val="004C0D4B"/>
    <w:rsid w:val="004C0F9F"/>
    <w:rsid w:val="004C1081"/>
    <w:rsid w:val="004C1E69"/>
    <w:rsid w:val="004C56BA"/>
    <w:rsid w:val="004C74E2"/>
    <w:rsid w:val="004C76DB"/>
    <w:rsid w:val="004C7C5B"/>
    <w:rsid w:val="004D0122"/>
    <w:rsid w:val="004D03A3"/>
    <w:rsid w:val="004D0995"/>
    <w:rsid w:val="004D0E63"/>
    <w:rsid w:val="004D22A1"/>
    <w:rsid w:val="004D3C19"/>
    <w:rsid w:val="004D5F67"/>
    <w:rsid w:val="004D65DF"/>
    <w:rsid w:val="004D71DB"/>
    <w:rsid w:val="004D7C87"/>
    <w:rsid w:val="004E141A"/>
    <w:rsid w:val="004E1818"/>
    <w:rsid w:val="004E3A5F"/>
    <w:rsid w:val="004E3A87"/>
    <w:rsid w:val="004E3E5A"/>
    <w:rsid w:val="004E447A"/>
    <w:rsid w:val="004E5317"/>
    <w:rsid w:val="004E5EB5"/>
    <w:rsid w:val="004E7BC9"/>
    <w:rsid w:val="004F076A"/>
    <w:rsid w:val="004F1E61"/>
    <w:rsid w:val="004F48AD"/>
    <w:rsid w:val="004F6CE1"/>
    <w:rsid w:val="004F743B"/>
    <w:rsid w:val="00500196"/>
    <w:rsid w:val="005002EB"/>
    <w:rsid w:val="005009CA"/>
    <w:rsid w:val="00503791"/>
    <w:rsid w:val="005042E5"/>
    <w:rsid w:val="00504940"/>
    <w:rsid w:val="005049F0"/>
    <w:rsid w:val="00505583"/>
    <w:rsid w:val="00505662"/>
    <w:rsid w:val="005072AD"/>
    <w:rsid w:val="0050799A"/>
    <w:rsid w:val="00507BEA"/>
    <w:rsid w:val="00510F9C"/>
    <w:rsid w:val="00512750"/>
    <w:rsid w:val="00512F51"/>
    <w:rsid w:val="00512F7C"/>
    <w:rsid w:val="005135AE"/>
    <w:rsid w:val="00514217"/>
    <w:rsid w:val="005142A8"/>
    <w:rsid w:val="00515415"/>
    <w:rsid w:val="00516E81"/>
    <w:rsid w:val="005173B6"/>
    <w:rsid w:val="00517CDB"/>
    <w:rsid w:val="005200A1"/>
    <w:rsid w:val="00521A25"/>
    <w:rsid w:val="00521E25"/>
    <w:rsid w:val="00522314"/>
    <w:rsid w:val="005267CB"/>
    <w:rsid w:val="00526ECD"/>
    <w:rsid w:val="00527498"/>
    <w:rsid w:val="00527BC6"/>
    <w:rsid w:val="00530E8E"/>
    <w:rsid w:val="005320D7"/>
    <w:rsid w:val="005329A5"/>
    <w:rsid w:val="00533945"/>
    <w:rsid w:val="00533CE0"/>
    <w:rsid w:val="0053483B"/>
    <w:rsid w:val="005358EE"/>
    <w:rsid w:val="00535CDC"/>
    <w:rsid w:val="0053661D"/>
    <w:rsid w:val="00536C02"/>
    <w:rsid w:val="005410B3"/>
    <w:rsid w:val="00541619"/>
    <w:rsid w:val="00542575"/>
    <w:rsid w:val="00542BE4"/>
    <w:rsid w:val="005440A1"/>
    <w:rsid w:val="00544314"/>
    <w:rsid w:val="00544678"/>
    <w:rsid w:val="00546FD4"/>
    <w:rsid w:val="00547725"/>
    <w:rsid w:val="00550480"/>
    <w:rsid w:val="00551578"/>
    <w:rsid w:val="0055252F"/>
    <w:rsid w:val="0055266E"/>
    <w:rsid w:val="00552C0E"/>
    <w:rsid w:val="005532BC"/>
    <w:rsid w:val="00554154"/>
    <w:rsid w:val="0055511E"/>
    <w:rsid w:val="00556DA1"/>
    <w:rsid w:val="005573D8"/>
    <w:rsid w:val="00560385"/>
    <w:rsid w:val="00561394"/>
    <w:rsid w:val="0056163D"/>
    <w:rsid w:val="005617D2"/>
    <w:rsid w:val="005625A9"/>
    <w:rsid w:val="00562E62"/>
    <w:rsid w:val="00563529"/>
    <w:rsid w:val="00565992"/>
    <w:rsid w:val="00566D1F"/>
    <w:rsid w:val="00566D66"/>
    <w:rsid w:val="00566F61"/>
    <w:rsid w:val="00567510"/>
    <w:rsid w:val="00567E9C"/>
    <w:rsid w:val="00567EB5"/>
    <w:rsid w:val="00571CA9"/>
    <w:rsid w:val="00572450"/>
    <w:rsid w:val="0057441C"/>
    <w:rsid w:val="00574D47"/>
    <w:rsid w:val="005751DB"/>
    <w:rsid w:val="005759B3"/>
    <w:rsid w:val="005767C1"/>
    <w:rsid w:val="00576B81"/>
    <w:rsid w:val="0058023C"/>
    <w:rsid w:val="00580DA1"/>
    <w:rsid w:val="00580F9B"/>
    <w:rsid w:val="005813FC"/>
    <w:rsid w:val="005823A3"/>
    <w:rsid w:val="00582819"/>
    <w:rsid w:val="00583C00"/>
    <w:rsid w:val="00585B00"/>
    <w:rsid w:val="005868C0"/>
    <w:rsid w:val="005873DF"/>
    <w:rsid w:val="00587A7B"/>
    <w:rsid w:val="00590896"/>
    <w:rsid w:val="00590F65"/>
    <w:rsid w:val="005910CB"/>
    <w:rsid w:val="0059160A"/>
    <w:rsid w:val="0059176D"/>
    <w:rsid w:val="00591F03"/>
    <w:rsid w:val="00592122"/>
    <w:rsid w:val="00592A05"/>
    <w:rsid w:val="00593921"/>
    <w:rsid w:val="005946AD"/>
    <w:rsid w:val="00594BC8"/>
    <w:rsid w:val="005960F3"/>
    <w:rsid w:val="005964B1"/>
    <w:rsid w:val="00597242"/>
    <w:rsid w:val="005972DE"/>
    <w:rsid w:val="005A1E98"/>
    <w:rsid w:val="005A315E"/>
    <w:rsid w:val="005A3958"/>
    <w:rsid w:val="005A3C4C"/>
    <w:rsid w:val="005A3D46"/>
    <w:rsid w:val="005A62C1"/>
    <w:rsid w:val="005A77B9"/>
    <w:rsid w:val="005A7BC0"/>
    <w:rsid w:val="005B0B7E"/>
    <w:rsid w:val="005B1C49"/>
    <w:rsid w:val="005B50BC"/>
    <w:rsid w:val="005B5293"/>
    <w:rsid w:val="005B707F"/>
    <w:rsid w:val="005B7411"/>
    <w:rsid w:val="005C0863"/>
    <w:rsid w:val="005C1BB0"/>
    <w:rsid w:val="005C3F03"/>
    <w:rsid w:val="005C4569"/>
    <w:rsid w:val="005C62CD"/>
    <w:rsid w:val="005C68E0"/>
    <w:rsid w:val="005C7F23"/>
    <w:rsid w:val="005D1794"/>
    <w:rsid w:val="005D2278"/>
    <w:rsid w:val="005D3736"/>
    <w:rsid w:val="005D3AC2"/>
    <w:rsid w:val="005D3E7F"/>
    <w:rsid w:val="005D4065"/>
    <w:rsid w:val="005D505A"/>
    <w:rsid w:val="005D50C4"/>
    <w:rsid w:val="005D5E25"/>
    <w:rsid w:val="005E0500"/>
    <w:rsid w:val="005E0B6C"/>
    <w:rsid w:val="005E1441"/>
    <w:rsid w:val="005E1D36"/>
    <w:rsid w:val="005E20F6"/>
    <w:rsid w:val="005E270A"/>
    <w:rsid w:val="005E375B"/>
    <w:rsid w:val="005E38E4"/>
    <w:rsid w:val="005E3AE1"/>
    <w:rsid w:val="005E421F"/>
    <w:rsid w:val="005E46AF"/>
    <w:rsid w:val="005E4D6C"/>
    <w:rsid w:val="005E6186"/>
    <w:rsid w:val="005E7211"/>
    <w:rsid w:val="005E7C6C"/>
    <w:rsid w:val="005F30A9"/>
    <w:rsid w:val="005F42C4"/>
    <w:rsid w:val="005F6C0E"/>
    <w:rsid w:val="005F6DAC"/>
    <w:rsid w:val="005F6F32"/>
    <w:rsid w:val="005F75DA"/>
    <w:rsid w:val="005F791F"/>
    <w:rsid w:val="00600D85"/>
    <w:rsid w:val="0060107F"/>
    <w:rsid w:val="00603012"/>
    <w:rsid w:val="00604615"/>
    <w:rsid w:val="00604E35"/>
    <w:rsid w:val="0060609A"/>
    <w:rsid w:val="006074EF"/>
    <w:rsid w:val="006078A1"/>
    <w:rsid w:val="006111F4"/>
    <w:rsid w:val="006115F1"/>
    <w:rsid w:val="00611C94"/>
    <w:rsid w:val="00612704"/>
    <w:rsid w:val="00615621"/>
    <w:rsid w:val="006159FA"/>
    <w:rsid w:val="00615DF2"/>
    <w:rsid w:val="006178DB"/>
    <w:rsid w:val="006207E2"/>
    <w:rsid w:val="00622C6A"/>
    <w:rsid w:val="00625045"/>
    <w:rsid w:val="006267B7"/>
    <w:rsid w:val="00627E2D"/>
    <w:rsid w:val="006318D0"/>
    <w:rsid w:val="0063201C"/>
    <w:rsid w:val="00632E99"/>
    <w:rsid w:val="0063444D"/>
    <w:rsid w:val="0063663B"/>
    <w:rsid w:val="00641B9D"/>
    <w:rsid w:val="00643B03"/>
    <w:rsid w:val="006454FE"/>
    <w:rsid w:val="00647AFE"/>
    <w:rsid w:val="0065053A"/>
    <w:rsid w:val="00650817"/>
    <w:rsid w:val="00650CA1"/>
    <w:rsid w:val="006528A7"/>
    <w:rsid w:val="00652BDC"/>
    <w:rsid w:val="006532D9"/>
    <w:rsid w:val="00654344"/>
    <w:rsid w:val="006556A8"/>
    <w:rsid w:val="00655BE2"/>
    <w:rsid w:val="00656C72"/>
    <w:rsid w:val="006574FB"/>
    <w:rsid w:val="00663BC6"/>
    <w:rsid w:val="00663FA4"/>
    <w:rsid w:val="00664BD3"/>
    <w:rsid w:val="0066537F"/>
    <w:rsid w:val="00670117"/>
    <w:rsid w:val="00671707"/>
    <w:rsid w:val="006726EA"/>
    <w:rsid w:val="00672801"/>
    <w:rsid w:val="0067335E"/>
    <w:rsid w:val="00673A26"/>
    <w:rsid w:val="00673B8A"/>
    <w:rsid w:val="006755EE"/>
    <w:rsid w:val="006761E7"/>
    <w:rsid w:val="0068022A"/>
    <w:rsid w:val="006805C0"/>
    <w:rsid w:val="00681D3D"/>
    <w:rsid w:val="00682079"/>
    <w:rsid w:val="00684D2D"/>
    <w:rsid w:val="00684E32"/>
    <w:rsid w:val="00685AAD"/>
    <w:rsid w:val="00686CAF"/>
    <w:rsid w:val="006909D1"/>
    <w:rsid w:val="00690E02"/>
    <w:rsid w:val="00691542"/>
    <w:rsid w:val="006921B9"/>
    <w:rsid w:val="00692BFB"/>
    <w:rsid w:val="00694018"/>
    <w:rsid w:val="00694422"/>
    <w:rsid w:val="0069475C"/>
    <w:rsid w:val="006970A9"/>
    <w:rsid w:val="006A024A"/>
    <w:rsid w:val="006A0F21"/>
    <w:rsid w:val="006A2BA6"/>
    <w:rsid w:val="006A38AD"/>
    <w:rsid w:val="006A44AB"/>
    <w:rsid w:val="006A5490"/>
    <w:rsid w:val="006A6ED4"/>
    <w:rsid w:val="006A6F09"/>
    <w:rsid w:val="006A6F66"/>
    <w:rsid w:val="006A7550"/>
    <w:rsid w:val="006B1A5F"/>
    <w:rsid w:val="006B2CD1"/>
    <w:rsid w:val="006B3683"/>
    <w:rsid w:val="006B6722"/>
    <w:rsid w:val="006B7C07"/>
    <w:rsid w:val="006B7CEE"/>
    <w:rsid w:val="006B7E37"/>
    <w:rsid w:val="006C0097"/>
    <w:rsid w:val="006C07B7"/>
    <w:rsid w:val="006C1B28"/>
    <w:rsid w:val="006C21FD"/>
    <w:rsid w:val="006C2384"/>
    <w:rsid w:val="006C36A9"/>
    <w:rsid w:val="006C5B49"/>
    <w:rsid w:val="006C627F"/>
    <w:rsid w:val="006C7267"/>
    <w:rsid w:val="006D03AB"/>
    <w:rsid w:val="006D2311"/>
    <w:rsid w:val="006D2D93"/>
    <w:rsid w:val="006D6EA6"/>
    <w:rsid w:val="006D7863"/>
    <w:rsid w:val="006E050B"/>
    <w:rsid w:val="006E13A2"/>
    <w:rsid w:val="006E3A1E"/>
    <w:rsid w:val="006E3C9F"/>
    <w:rsid w:val="006E48BB"/>
    <w:rsid w:val="006E4A1B"/>
    <w:rsid w:val="006E6846"/>
    <w:rsid w:val="006E7138"/>
    <w:rsid w:val="006E7A59"/>
    <w:rsid w:val="006E7E62"/>
    <w:rsid w:val="006F2314"/>
    <w:rsid w:val="006F2469"/>
    <w:rsid w:val="006F2BFB"/>
    <w:rsid w:val="006F3299"/>
    <w:rsid w:val="006F37B2"/>
    <w:rsid w:val="006F5D6D"/>
    <w:rsid w:val="006F6D32"/>
    <w:rsid w:val="006F73BC"/>
    <w:rsid w:val="006F7DB1"/>
    <w:rsid w:val="006F7FAD"/>
    <w:rsid w:val="007013F9"/>
    <w:rsid w:val="00702300"/>
    <w:rsid w:val="007027E5"/>
    <w:rsid w:val="00703603"/>
    <w:rsid w:val="007044C7"/>
    <w:rsid w:val="0070571F"/>
    <w:rsid w:val="00706453"/>
    <w:rsid w:val="00706908"/>
    <w:rsid w:val="00707363"/>
    <w:rsid w:val="007073A4"/>
    <w:rsid w:val="00711EEC"/>
    <w:rsid w:val="00712261"/>
    <w:rsid w:val="007134B8"/>
    <w:rsid w:val="007142DC"/>
    <w:rsid w:val="00716393"/>
    <w:rsid w:val="007164F8"/>
    <w:rsid w:val="0071698F"/>
    <w:rsid w:val="007169A3"/>
    <w:rsid w:val="00717295"/>
    <w:rsid w:val="0071729E"/>
    <w:rsid w:val="007210A0"/>
    <w:rsid w:val="00723723"/>
    <w:rsid w:val="0072430D"/>
    <w:rsid w:val="00724590"/>
    <w:rsid w:val="00724C12"/>
    <w:rsid w:val="007261C7"/>
    <w:rsid w:val="00726E4F"/>
    <w:rsid w:val="0072746B"/>
    <w:rsid w:val="00730BF3"/>
    <w:rsid w:val="00731276"/>
    <w:rsid w:val="0073159A"/>
    <w:rsid w:val="00733674"/>
    <w:rsid w:val="0073469B"/>
    <w:rsid w:val="00736402"/>
    <w:rsid w:val="0073664A"/>
    <w:rsid w:val="007379A6"/>
    <w:rsid w:val="00737E5F"/>
    <w:rsid w:val="007419A5"/>
    <w:rsid w:val="007419D1"/>
    <w:rsid w:val="007436EB"/>
    <w:rsid w:val="007447CF"/>
    <w:rsid w:val="00744C9A"/>
    <w:rsid w:val="0074519C"/>
    <w:rsid w:val="0074654E"/>
    <w:rsid w:val="00747461"/>
    <w:rsid w:val="00747948"/>
    <w:rsid w:val="00747C0F"/>
    <w:rsid w:val="00751420"/>
    <w:rsid w:val="007517AD"/>
    <w:rsid w:val="00751837"/>
    <w:rsid w:val="00751AC8"/>
    <w:rsid w:val="00752072"/>
    <w:rsid w:val="00752BDC"/>
    <w:rsid w:val="00753448"/>
    <w:rsid w:val="00753DAC"/>
    <w:rsid w:val="0075462B"/>
    <w:rsid w:val="007569B6"/>
    <w:rsid w:val="00757E0C"/>
    <w:rsid w:val="007600D8"/>
    <w:rsid w:val="00762E16"/>
    <w:rsid w:val="00763D0F"/>
    <w:rsid w:val="0076568D"/>
    <w:rsid w:val="0076585C"/>
    <w:rsid w:val="00765E00"/>
    <w:rsid w:val="00766743"/>
    <w:rsid w:val="00766A99"/>
    <w:rsid w:val="00767618"/>
    <w:rsid w:val="00767BD0"/>
    <w:rsid w:val="00767D06"/>
    <w:rsid w:val="00770D8D"/>
    <w:rsid w:val="00770F9C"/>
    <w:rsid w:val="00775B12"/>
    <w:rsid w:val="007826FF"/>
    <w:rsid w:val="00782941"/>
    <w:rsid w:val="00782BF3"/>
    <w:rsid w:val="0078309C"/>
    <w:rsid w:val="00783700"/>
    <w:rsid w:val="00783CEF"/>
    <w:rsid w:val="00783F17"/>
    <w:rsid w:val="007855D3"/>
    <w:rsid w:val="00787027"/>
    <w:rsid w:val="007871AF"/>
    <w:rsid w:val="00787D7A"/>
    <w:rsid w:val="0079029D"/>
    <w:rsid w:val="007930D0"/>
    <w:rsid w:val="007937EC"/>
    <w:rsid w:val="00794E16"/>
    <w:rsid w:val="007953BC"/>
    <w:rsid w:val="00796CF1"/>
    <w:rsid w:val="0079761C"/>
    <w:rsid w:val="007A151A"/>
    <w:rsid w:val="007A1BAA"/>
    <w:rsid w:val="007A2382"/>
    <w:rsid w:val="007A2A8E"/>
    <w:rsid w:val="007A2B71"/>
    <w:rsid w:val="007A64E4"/>
    <w:rsid w:val="007A6A0D"/>
    <w:rsid w:val="007B04AA"/>
    <w:rsid w:val="007B0979"/>
    <w:rsid w:val="007B39F1"/>
    <w:rsid w:val="007B44EF"/>
    <w:rsid w:val="007B5D85"/>
    <w:rsid w:val="007B5DC9"/>
    <w:rsid w:val="007B6EEA"/>
    <w:rsid w:val="007B756F"/>
    <w:rsid w:val="007B7690"/>
    <w:rsid w:val="007C035E"/>
    <w:rsid w:val="007C0F17"/>
    <w:rsid w:val="007C18AD"/>
    <w:rsid w:val="007C1CB7"/>
    <w:rsid w:val="007C1EAA"/>
    <w:rsid w:val="007C1F85"/>
    <w:rsid w:val="007C25FD"/>
    <w:rsid w:val="007C28A9"/>
    <w:rsid w:val="007C42D2"/>
    <w:rsid w:val="007C785D"/>
    <w:rsid w:val="007D1BFE"/>
    <w:rsid w:val="007D21C3"/>
    <w:rsid w:val="007D337B"/>
    <w:rsid w:val="007D41F5"/>
    <w:rsid w:val="007D5882"/>
    <w:rsid w:val="007D738F"/>
    <w:rsid w:val="007D7835"/>
    <w:rsid w:val="007E0C3E"/>
    <w:rsid w:val="007E0CB0"/>
    <w:rsid w:val="007E3285"/>
    <w:rsid w:val="007E3CDD"/>
    <w:rsid w:val="007E4933"/>
    <w:rsid w:val="007E59DF"/>
    <w:rsid w:val="007E750C"/>
    <w:rsid w:val="007E7BCF"/>
    <w:rsid w:val="007F01B4"/>
    <w:rsid w:val="007F2069"/>
    <w:rsid w:val="007F2921"/>
    <w:rsid w:val="007F2FA3"/>
    <w:rsid w:val="007F3783"/>
    <w:rsid w:val="007F644D"/>
    <w:rsid w:val="007F6DBE"/>
    <w:rsid w:val="00800FDD"/>
    <w:rsid w:val="00803F97"/>
    <w:rsid w:val="008065F7"/>
    <w:rsid w:val="00810202"/>
    <w:rsid w:val="008109AA"/>
    <w:rsid w:val="0081331B"/>
    <w:rsid w:val="008147E1"/>
    <w:rsid w:val="00815D5E"/>
    <w:rsid w:val="008161C0"/>
    <w:rsid w:val="0082003E"/>
    <w:rsid w:val="00820139"/>
    <w:rsid w:val="008203B7"/>
    <w:rsid w:val="00820CFE"/>
    <w:rsid w:val="00821498"/>
    <w:rsid w:val="00821D72"/>
    <w:rsid w:val="00822066"/>
    <w:rsid w:val="008234FD"/>
    <w:rsid w:val="00823C87"/>
    <w:rsid w:val="0082528B"/>
    <w:rsid w:val="00825ACA"/>
    <w:rsid w:val="00825EA4"/>
    <w:rsid w:val="008265F5"/>
    <w:rsid w:val="008266AF"/>
    <w:rsid w:val="008268BD"/>
    <w:rsid w:val="00830579"/>
    <w:rsid w:val="00831D25"/>
    <w:rsid w:val="00832485"/>
    <w:rsid w:val="00833B4A"/>
    <w:rsid w:val="0083514C"/>
    <w:rsid w:val="008352CD"/>
    <w:rsid w:val="00840C32"/>
    <w:rsid w:val="008411F6"/>
    <w:rsid w:val="0084133E"/>
    <w:rsid w:val="008429B5"/>
    <w:rsid w:val="0084390A"/>
    <w:rsid w:val="00843A46"/>
    <w:rsid w:val="00844B5E"/>
    <w:rsid w:val="00845D64"/>
    <w:rsid w:val="00847DC0"/>
    <w:rsid w:val="008528E8"/>
    <w:rsid w:val="0085350F"/>
    <w:rsid w:val="00854D47"/>
    <w:rsid w:val="00855BBB"/>
    <w:rsid w:val="00856841"/>
    <w:rsid w:val="00856897"/>
    <w:rsid w:val="00856CEA"/>
    <w:rsid w:val="00857050"/>
    <w:rsid w:val="00860FA5"/>
    <w:rsid w:val="008617AB"/>
    <w:rsid w:val="00862BD9"/>
    <w:rsid w:val="00862E23"/>
    <w:rsid w:val="00863E28"/>
    <w:rsid w:val="00864EE5"/>
    <w:rsid w:val="008669B0"/>
    <w:rsid w:val="00866CA2"/>
    <w:rsid w:val="00866D27"/>
    <w:rsid w:val="00867476"/>
    <w:rsid w:val="008708CC"/>
    <w:rsid w:val="00874C17"/>
    <w:rsid w:val="008760C1"/>
    <w:rsid w:val="00876408"/>
    <w:rsid w:val="00877B6B"/>
    <w:rsid w:val="00877FAB"/>
    <w:rsid w:val="0088186E"/>
    <w:rsid w:val="00882362"/>
    <w:rsid w:val="00882389"/>
    <w:rsid w:val="0088349B"/>
    <w:rsid w:val="00884DFD"/>
    <w:rsid w:val="00884FE6"/>
    <w:rsid w:val="00885189"/>
    <w:rsid w:val="00886484"/>
    <w:rsid w:val="008864A8"/>
    <w:rsid w:val="00886E9C"/>
    <w:rsid w:val="00887129"/>
    <w:rsid w:val="008878ED"/>
    <w:rsid w:val="00887AE3"/>
    <w:rsid w:val="00887EAF"/>
    <w:rsid w:val="00890C21"/>
    <w:rsid w:val="00892D66"/>
    <w:rsid w:val="00894DEB"/>
    <w:rsid w:val="008976AC"/>
    <w:rsid w:val="008978AA"/>
    <w:rsid w:val="008A02C7"/>
    <w:rsid w:val="008A0308"/>
    <w:rsid w:val="008A049E"/>
    <w:rsid w:val="008A067D"/>
    <w:rsid w:val="008A1801"/>
    <w:rsid w:val="008A48A5"/>
    <w:rsid w:val="008A4D9B"/>
    <w:rsid w:val="008A6661"/>
    <w:rsid w:val="008A6912"/>
    <w:rsid w:val="008A6D2F"/>
    <w:rsid w:val="008A6F1E"/>
    <w:rsid w:val="008B0FF7"/>
    <w:rsid w:val="008B15D5"/>
    <w:rsid w:val="008B33C9"/>
    <w:rsid w:val="008B41D9"/>
    <w:rsid w:val="008B47A9"/>
    <w:rsid w:val="008B63FD"/>
    <w:rsid w:val="008B68A3"/>
    <w:rsid w:val="008B6B75"/>
    <w:rsid w:val="008B6CDE"/>
    <w:rsid w:val="008B72F1"/>
    <w:rsid w:val="008C0E1E"/>
    <w:rsid w:val="008C159F"/>
    <w:rsid w:val="008C3526"/>
    <w:rsid w:val="008C35BD"/>
    <w:rsid w:val="008C366C"/>
    <w:rsid w:val="008C43F0"/>
    <w:rsid w:val="008C4908"/>
    <w:rsid w:val="008C4E28"/>
    <w:rsid w:val="008C6109"/>
    <w:rsid w:val="008C6939"/>
    <w:rsid w:val="008C78B8"/>
    <w:rsid w:val="008D04A4"/>
    <w:rsid w:val="008D1452"/>
    <w:rsid w:val="008D2B33"/>
    <w:rsid w:val="008D2F5C"/>
    <w:rsid w:val="008D379A"/>
    <w:rsid w:val="008D573F"/>
    <w:rsid w:val="008D6749"/>
    <w:rsid w:val="008D70C3"/>
    <w:rsid w:val="008D75EE"/>
    <w:rsid w:val="008D7B6C"/>
    <w:rsid w:val="008E0B64"/>
    <w:rsid w:val="008E2200"/>
    <w:rsid w:val="008E2AB0"/>
    <w:rsid w:val="008E2D7E"/>
    <w:rsid w:val="008E4399"/>
    <w:rsid w:val="008E7950"/>
    <w:rsid w:val="008F09F0"/>
    <w:rsid w:val="008F0C6B"/>
    <w:rsid w:val="008F1637"/>
    <w:rsid w:val="008F47DB"/>
    <w:rsid w:val="008F5259"/>
    <w:rsid w:val="008F5ED8"/>
    <w:rsid w:val="008F651D"/>
    <w:rsid w:val="008F6B64"/>
    <w:rsid w:val="009019D8"/>
    <w:rsid w:val="00901B08"/>
    <w:rsid w:val="009036BB"/>
    <w:rsid w:val="009146EC"/>
    <w:rsid w:val="00916D88"/>
    <w:rsid w:val="0092017A"/>
    <w:rsid w:val="009208DC"/>
    <w:rsid w:val="009213BC"/>
    <w:rsid w:val="009228C6"/>
    <w:rsid w:val="00923E05"/>
    <w:rsid w:val="0092506F"/>
    <w:rsid w:val="00925474"/>
    <w:rsid w:val="009257E2"/>
    <w:rsid w:val="009259F9"/>
    <w:rsid w:val="00925D4C"/>
    <w:rsid w:val="0092682D"/>
    <w:rsid w:val="009310E8"/>
    <w:rsid w:val="00931623"/>
    <w:rsid w:val="00933243"/>
    <w:rsid w:val="009337D7"/>
    <w:rsid w:val="00933A6F"/>
    <w:rsid w:val="009354AC"/>
    <w:rsid w:val="009363F2"/>
    <w:rsid w:val="00937036"/>
    <w:rsid w:val="00940222"/>
    <w:rsid w:val="00940C4E"/>
    <w:rsid w:val="009411CC"/>
    <w:rsid w:val="00941B3A"/>
    <w:rsid w:val="00941C61"/>
    <w:rsid w:val="00942DF3"/>
    <w:rsid w:val="009434E4"/>
    <w:rsid w:val="00944FDA"/>
    <w:rsid w:val="00945236"/>
    <w:rsid w:val="00945DA2"/>
    <w:rsid w:val="00946650"/>
    <w:rsid w:val="0094712A"/>
    <w:rsid w:val="0095005B"/>
    <w:rsid w:val="00950259"/>
    <w:rsid w:val="00951C15"/>
    <w:rsid w:val="0095256E"/>
    <w:rsid w:val="00954818"/>
    <w:rsid w:val="0095493B"/>
    <w:rsid w:val="00954CD1"/>
    <w:rsid w:val="00955D46"/>
    <w:rsid w:val="00961098"/>
    <w:rsid w:val="009621C3"/>
    <w:rsid w:val="009623DC"/>
    <w:rsid w:val="00962446"/>
    <w:rsid w:val="0096350A"/>
    <w:rsid w:val="00964B36"/>
    <w:rsid w:val="00964D27"/>
    <w:rsid w:val="00965996"/>
    <w:rsid w:val="009662E6"/>
    <w:rsid w:val="009663B4"/>
    <w:rsid w:val="0096746A"/>
    <w:rsid w:val="009678F9"/>
    <w:rsid w:val="00970AE1"/>
    <w:rsid w:val="00970F83"/>
    <w:rsid w:val="009725DB"/>
    <w:rsid w:val="009730E0"/>
    <w:rsid w:val="00973873"/>
    <w:rsid w:val="00975FA1"/>
    <w:rsid w:val="00976226"/>
    <w:rsid w:val="009769E7"/>
    <w:rsid w:val="009839B6"/>
    <w:rsid w:val="009854C1"/>
    <w:rsid w:val="00985EB5"/>
    <w:rsid w:val="00987468"/>
    <w:rsid w:val="00987D82"/>
    <w:rsid w:val="0099042A"/>
    <w:rsid w:val="0099090C"/>
    <w:rsid w:val="00990C29"/>
    <w:rsid w:val="009911F9"/>
    <w:rsid w:val="0099160B"/>
    <w:rsid w:val="00991A10"/>
    <w:rsid w:val="00994D22"/>
    <w:rsid w:val="00995427"/>
    <w:rsid w:val="009957FD"/>
    <w:rsid w:val="00995CCC"/>
    <w:rsid w:val="00996601"/>
    <w:rsid w:val="00996C5D"/>
    <w:rsid w:val="00996CC8"/>
    <w:rsid w:val="00996F70"/>
    <w:rsid w:val="009970D7"/>
    <w:rsid w:val="009A1861"/>
    <w:rsid w:val="009A4890"/>
    <w:rsid w:val="009A4DF9"/>
    <w:rsid w:val="009A4F9D"/>
    <w:rsid w:val="009B18AA"/>
    <w:rsid w:val="009B3589"/>
    <w:rsid w:val="009B4B35"/>
    <w:rsid w:val="009B562A"/>
    <w:rsid w:val="009B5A63"/>
    <w:rsid w:val="009C014A"/>
    <w:rsid w:val="009C10A2"/>
    <w:rsid w:val="009C1334"/>
    <w:rsid w:val="009C2087"/>
    <w:rsid w:val="009C75DA"/>
    <w:rsid w:val="009C763E"/>
    <w:rsid w:val="009C7766"/>
    <w:rsid w:val="009D0DA6"/>
    <w:rsid w:val="009D2913"/>
    <w:rsid w:val="009D2B03"/>
    <w:rsid w:val="009D3F49"/>
    <w:rsid w:val="009D49CC"/>
    <w:rsid w:val="009D5EB3"/>
    <w:rsid w:val="009D6D31"/>
    <w:rsid w:val="009E032C"/>
    <w:rsid w:val="009E2099"/>
    <w:rsid w:val="009E2405"/>
    <w:rsid w:val="009E2AE0"/>
    <w:rsid w:val="009E2D1C"/>
    <w:rsid w:val="009E499D"/>
    <w:rsid w:val="009E5F24"/>
    <w:rsid w:val="009E6C14"/>
    <w:rsid w:val="009E6CEE"/>
    <w:rsid w:val="009E7559"/>
    <w:rsid w:val="009E76DF"/>
    <w:rsid w:val="009F05E5"/>
    <w:rsid w:val="009F2283"/>
    <w:rsid w:val="009F30DF"/>
    <w:rsid w:val="009F34A5"/>
    <w:rsid w:val="009F3A1A"/>
    <w:rsid w:val="009F4166"/>
    <w:rsid w:val="009F638B"/>
    <w:rsid w:val="009F713D"/>
    <w:rsid w:val="00A00ED5"/>
    <w:rsid w:val="00A00EE4"/>
    <w:rsid w:val="00A01D74"/>
    <w:rsid w:val="00A03AAC"/>
    <w:rsid w:val="00A03B1C"/>
    <w:rsid w:val="00A04186"/>
    <w:rsid w:val="00A0441D"/>
    <w:rsid w:val="00A056A1"/>
    <w:rsid w:val="00A06388"/>
    <w:rsid w:val="00A06A3F"/>
    <w:rsid w:val="00A06B68"/>
    <w:rsid w:val="00A07291"/>
    <w:rsid w:val="00A10291"/>
    <w:rsid w:val="00A11F28"/>
    <w:rsid w:val="00A15468"/>
    <w:rsid w:val="00A163B4"/>
    <w:rsid w:val="00A164A4"/>
    <w:rsid w:val="00A17662"/>
    <w:rsid w:val="00A17B6F"/>
    <w:rsid w:val="00A20AC0"/>
    <w:rsid w:val="00A20CDC"/>
    <w:rsid w:val="00A21064"/>
    <w:rsid w:val="00A21792"/>
    <w:rsid w:val="00A2201F"/>
    <w:rsid w:val="00A223EE"/>
    <w:rsid w:val="00A23A79"/>
    <w:rsid w:val="00A23D62"/>
    <w:rsid w:val="00A23FE0"/>
    <w:rsid w:val="00A24739"/>
    <w:rsid w:val="00A252C2"/>
    <w:rsid w:val="00A26A87"/>
    <w:rsid w:val="00A271EA"/>
    <w:rsid w:val="00A30928"/>
    <w:rsid w:val="00A31843"/>
    <w:rsid w:val="00A33701"/>
    <w:rsid w:val="00A33734"/>
    <w:rsid w:val="00A33C76"/>
    <w:rsid w:val="00A33F5A"/>
    <w:rsid w:val="00A34948"/>
    <w:rsid w:val="00A370AF"/>
    <w:rsid w:val="00A37161"/>
    <w:rsid w:val="00A409DC"/>
    <w:rsid w:val="00A41461"/>
    <w:rsid w:val="00A436C3"/>
    <w:rsid w:val="00A47198"/>
    <w:rsid w:val="00A4748F"/>
    <w:rsid w:val="00A50941"/>
    <w:rsid w:val="00A50CE9"/>
    <w:rsid w:val="00A52D40"/>
    <w:rsid w:val="00A532E2"/>
    <w:rsid w:val="00A5352F"/>
    <w:rsid w:val="00A538DE"/>
    <w:rsid w:val="00A53DB8"/>
    <w:rsid w:val="00A55392"/>
    <w:rsid w:val="00A553A0"/>
    <w:rsid w:val="00A605E4"/>
    <w:rsid w:val="00A610E9"/>
    <w:rsid w:val="00A614C8"/>
    <w:rsid w:val="00A61667"/>
    <w:rsid w:val="00A64188"/>
    <w:rsid w:val="00A6485B"/>
    <w:rsid w:val="00A66A0B"/>
    <w:rsid w:val="00A66AB2"/>
    <w:rsid w:val="00A66BA8"/>
    <w:rsid w:val="00A701F3"/>
    <w:rsid w:val="00A70655"/>
    <w:rsid w:val="00A70E8F"/>
    <w:rsid w:val="00A70EE2"/>
    <w:rsid w:val="00A72797"/>
    <w:rsid w:val="00A7315F"/>
    <w:rsid w:val="00A741E3"/>
    <w:rsid w:val="00A756C0"/>
    <w:rsid w:val="00A767C1"/>
    <w:rsid w:val="00A768C3"/>
    <w:rsid w:val="00A81D06"/>
    <w:rsid w:val="00A8222E"/>
    <w:rsid w:val="00A829D1"/>
    <w:rsid w:val="00A839A2"/>
    <w:rsid w:val="00A842A6"/>
    <w:rsid w:val="00A849A9"/>
    <w:rsid w:val="00A90D9F"/>
    <w:rsid w:val="00A91D56"/>
    <w:rsid w:val="00A93E6F"/>
    <w:rsid w:val="00A94447"/>
    <w:rsid w:val="00A95923"/>
    <w:rsid w:val="00A97E1D"/>
    <w:rsid w:val="00AA041F"/>
    <w:rsid w:val="00AA0638"/>
    <w:rsid w:val="00AA1A5C"/>
    <w:rsid w:val="00AA29C7"/>
    <w:rsid w:val="00AA2EE9"/>
    <w:rsid w:val="00AA3F79"/>
    <w:rsid w:val="00AA4958"/>
    <w:rsid w:val="00AA4D66"/>
    <w:rsid w:val="00AA4DA9"/>
    <w:rsid w:val="00AA634C"/>
    <w:rsid w:val="00AA6AF8"/>
    <w:rsid w:val="00AA7632"/>
    <w:rsid w:val="00AA7B08"/>
    <w:rsid w:val="00AB04CE"/>
    <w:rsid w:val="00AB11A6"/>
    <w:rsid w:val="00AB24B7"/>
    <w:rsid w:val="00AB3AC8"/>
    <w:rsid w:val="00AB53B5"/>
    <w:rsid w:val="00AB73F4"/>
    <w:rsid w:val="00AC0918"/>
    <w:rsid w:val="00AC0BAB"/>
    <w:rsid w:val="00AC0CEF"/>
    <w:rsid w:val="00AC22B6"/>
    <w:rsid w:val="00AC25B0"/>
    <w:rsid w:val="00AC2652"/>
    <w:rsid w:val="00AC5456"/>
    <w:rsid w:val="00AD0FED"/>
    <w:rsid w:val="00AD14DD"/>
    <w:rsid w:val="00AD1A87"/>
    <w:rsid w:val="00AD1D87"/>
    <w:rsid w:val="00AD2BAF"/>
    <w:rsid w:val="00AD3ADB"/>
    <w:rsid w:val="00AD581A"/>
    <w:rsid w:val="00AD5B02"/>
    <w:rsid w:val="00AD5E39"/>
    <w:rsid w:val="00AD68B5"/>
    <w:rsid w:val="00AD7AB2"/>
    <w:rsid w:val="00AD7D84"/>
    <w:rsid w:val="00AE0027"/>
    <w:rsid w:val="00AE09B4"/>
    <w:rsid w:val="00AE0B7A"/>
    <w:rsid w:val="00AE19DA"/>
    <w:rsid w:val="00AE20F6"/>
    <w:rsid w:val="00AE2E6C"/>
    <w:rsid w:val="00AE331F"/>
    <w:rsid w:val="00AE34CC"/>
    <w:rsid w:val="00AE3EF3"/>
    <w:rsid w:val="00AE7D71"/>
    <w:rsid w:val="00AF1318"/>
    <w:rsid w:val="00AF38AD"/>
    <w:rsid w:val="00AF39A9"/>
    <w:rsid w:val="00AF3ABF"/>
    <w:rsid w:val="00AF3B20"/>
    <w:rsid w:val="00AF4965"/>
    <w:rsid w:val="00AF4BA5"/>
    <w:rsid w:val="00AF5856"/>
    <w:rsid w:val="00AF6EDB"/>
    <w:rsid w:val="00AF7389"/>
    <w:rsid w:val="00AF7DEF"/>
    <w:rsid w:val="00B01006"/>
    <w:rsid w:val="00B021A7"/>
    <w:rsid w:val="00B0294C"/>
    <w:rsid w:val="00B03BD0"/>
    <w:rsid w:val="00B05211"/>
    <w:rsid w:val="00B062ED"/>
    <w:rsid w:val="00B06CEA"/>
    <w:rsid w:val="00B10302"/>
    <w:rsid w:val="00B113AA"/>
    <w:rsid w:val="00B11A19"/>
    <w:rsid w:val="00B121E0"/>
    <w:rsid w:val="00B133C2"/>
    <w:rsid w:val="00B14282"/>
    <w:rsid w:val="00B1596C"/>
    <w:rsid w:val="00B15F5E"/>
    <w:rsid w:val="00B16286"/>
    <w:rsid w:val="00B16AC3"/>
    <w:rsid w:val="00B2034B"/>
    <w:rsid w:val="00B20C1B"/>
    <w:rsid w:val="00B22877"/>
    <w:rsid w:val="00B234CB"/>
    <w:rsid w:val="00B24CA4"/>
    <w:rsid w:val="00B2578A"/>
    <w:rsid w:val="00B316EC"/>
    <w:rsid w:val="00B31FE8"/>
    <w:rsid w:val="00B324FE"/>
    <w:rsid w:val="00B33D24"/>
    <w:rsid w:val="00B3462C"/>
    <w:rsid w:val="00B36909"/>
    <w:rsid w:val="00B377FE"/>
    <w:rsid w:val="00B37B4F"/>
    <w:rsid w:val="00B37D9E"/>
    <w:rsid w:val="00B402E9"/>
    <w:rsid w:val="00B40720"/>
    <w:rsid w:val="00B40E3D"/>
    <w:rsid w:val="00B4289C"/>
    <w:rsid w:val="00B438F1"/>
    <w:rsid w:val="00B440E2"/>
    <w:rsid w:val="00B4495A"/>
    <w:rsid w:val="00B44CEC"/>
    <w:rsid w:val="00B4579C"/>
    <w:rsid w:val="00B46A32"/>
    <w:rsid w:val="00B4785E"/>
    <w:rsid w:val="00B47E87"/>
    <w:rsid w:val="00B50236"/>
    <w:rsid w:val="00B52D3C"/>
    <w:rsid w:val="00B53403"/>
    <w:rsid w:val="00B55A6F"/>
    <w:rsid w:val="00B6318E"/>
    <w:rsid w:val="00B637D2"/>
    <w:rsid w:val="00B640C4"/>
    <w:rsid w:val="00B6420D"/>
    <w:rsid w:val="00B649D3"/>
    <w:rsid w:val="00B64A10"/>
    <w:rsid w:val="00B64F08"/>
    <w:rsid w:val="00B65B86"/>
    <w:rsid w:val="00B66043"/>
    <w:rsid w:val="00B66353"/>
    <w:rsid w:val="00B666E8"/>
    <w:rsid w:val="00B66F56"/>
    <w:rsid w:val="00B67C58"/>
    <w:rsid w:val="00B67E5A"/>
    <w:rsid w:val="00B706BA"/>
    <w:rsid w:val="00B71552"/>
    <w:rsid w:val="00B71631"/>
    <w:rsid w:val="00B71C4A"/>
    <w:rsid w:val="00B73231"/>
    <w:rsid w:val="00B76A57"/>
    <w:rsid w:val="00B774B3"/>
    <w:rsid w:val="00B77F3C"/>
    <w:rsid w:val="00B80B0A"/>
    <w:rsid w:val="00B80D0A"/>
    <w:rsid w:val="00B81ADA"/>
    <w:rsid w:val="00B82B7E"/>
    <w:rsid w:val="00B82F15"/>
    <w:rsid w:val="00B846FD"/>
    <w:rsid w:val="00B84934"/>
    <w:rsid w:val="00B85DE9"/>
    <w:rsid w:val="00B860CA"/>
    <w:rsid w:val="00B902EA"/>
    <w:rsid w:val="00B905FD"/>
    <w:rsid w:val="00B92D94"/>
    <w:rsid w:val="00B92EFD"/>
    <w:rsid w:val="00B94FCE"/>
    <w:rsid w:val="00B96275"/>
    <w:rsid w:val="00BA09DE"/>
    <w:rsid w:val="00BA3EBB"/>
    <w:rsid w:val="00BA4369"/>
    <w:rsid w:val="00BA6BFB"/>
    <w:rsid w:val="00BA70C7"/>
    <w:rsid w:val="00BA7D3A"/>
    <w:rsid w:val="00BB0EAA"/>
    <w:rsid w:val="00BB2F6D"/>
    <w:rsid w:val="00BB52C1"/>
    <w:rsid w:val="00BB77C6"/>
    <w:rsid w:val="00BC0DEA"/>
    <w:rsid w:val="00BC1AE1"/>
    <w:rsid w:val="00BC3AED"/>
    <w:rsid w:val="00BC3C53"/>
    <w:rsid w:val="00BC3DCF"/>
    <w:rsid w:val="00BC40B5"/>
    <w:rsid w:val="00BC53FC"/>
    <w:rsid w:val="00BC6290"/>
    <w:rsid w:val="00BC6B85"/>
    <w:rsid w:val="00BC7931"/>
    <w:rsid w:val="00BD04A8"/>
    <w:rsid w:val="00BD0A7C"/>
    <w:rsid w:val="00BD3174"/>
    <w:rsid w:val="00BD502B"/>
    <w:rsid w:val="00BD66CF"/>
    <w:rsid w:val="00BE0029"/>
    <w:rsid w:val="00BE0FF3"/>
    <w:rsid w:val="00BE1020"/>
    <w:rsid w:val="00BE16EF"/>
    <w:rsid w:val="00BE1802"/>
    <w:rsid w:val="00BE26DF"/>
    <w:rsid w:val="00BE29C2"/>
    <w:rsid w:val="00BE3533"/>
    <w:rsid w:val="00BE4366"/>
    <w:rsid w:val="00BE4EBA"/>
    <w:rsid w:val="00BE7E70"/>
    <w:rsid w:val="00BF010B"/>
    <w:rsid w:val="00BF013C"/>
    <w:rsid w:val="00BF339F"/>
    <w:rsid w:val="00BF50F0"/>
    <w:rsid w:val="00C0251B"/>
    <w:rsid w:val="00C02C9A"/>
    <w:rsid w:val="00C035C5"/>
    <w:rsid w:val="00C03E81"/>
    <w:rsid w:val="00C04B6B"/>
    <w:rsid w:val="00C059E5"/>
    <w:rsid w:val="00C0746C"/>
    <w:rsid w:val="00C1029C"/>
    <w:rsid w:val="00C12BEA"/>
    <w:rsid w:val="00C15E60"/>
    <w:rsid w:val="00C224D3"/>
    <w:rsid w:val="00C2494B"/>
    <w:rsid w:val="00C2667C"/>
    <w:rsid w:val="00C27089"/>
    <w:rsid w:val="00C27531"/>
    <w:rsid w:val="00C31064"/>
    <w:rsid w:val="00C3255D"/>
    <w:rsid w:val="00C326BE"/>
    <w:rsid w:val="00C332D5"/>
    <w:rsid w:val="00C36901"/>
    <w:rsid w:val="00C36C33"/>
    <w:rsid w:val="00C37AD3"/>
    <w:rsid w:val="00C406BE"/>
    <w:rsid w:val="00C40D24"/>
    <w:rsid w:val="00C415D1"/>
    <w:rsid w:val="00C440DF"/>
    <w:rsid w:val="00C444FE"/>
    <w:rsid w:val="00C45C95"/>
    <w:rsid w:val="00C50E34"/>
    <w:rsid w:val="00C52CBD"/>
    <w:rsid w:val="00C544C2"/>
    <w:rsid w:val="00C5668C"/>
    <w:rsid w:val="00C56DB6"/>
    <w:rsid w:val="00C60D69"/>
    <w:rsid w:val="00C62A11"/>
    <w:rsid w:val="00C62FE2"/>
    <w:rsid w:val="00C63B74"/>
    <w:rsid w:val="00C63D22"/>
    <w:rsid w:val="00C6405E"/>
    <w:rsid w:val="00C65499"/>
    <w:rsid w:val="00C658C1"/>
    <w:rsid w:val="00C65B87"/>
    <w:rsid w:val="00C65C9A"/>
    <w:rsid w:val="00C6751C"/>
    <w:rsid w:val="00C6767E"/>
    <w:rsid w:val="00C67CE9"/>
    <w:rsid w:val="00C7174F"/>
    <w:rsid w:val="00C744F4"/>
    <w:rsid w:val="00C74879"/>
    <w:rsid w:val="00C74F0A"/>
    <w:rsid w:val="00C763CC"/>
    <w:rsid w:val="00C76D96"/>
    <w:rsid w:val="00C77CA0"/>
    <w:rsid w:val="00C801E4"/>
    <w:rsid w:val="00C807AA"/>
    <w:rsid w:val="00C81076"/>
    <w:rsid w:val="00C81671"/>
    <w:rsid w:val="00C82236"/>
    <w:rsid w:val="00C8273F"/>
    <w:rsid w:val="00C830AA"/>
    <w:rsid w:val="00C83356"/>
    <w:rsid w:val="00C848D6"/>
    <w:rsid w:val="00C901E8"/>
    <w:rsid w:val="00C90622"/>
    <w:rsid w:val="00C9185A"/>
    <w:rsid w:val="00C92149"/>
    <w:rsid w:val="00C930F9"/>
    <w:rsid w:val="00C93ACB"/>
    <w:rsid w:val="00C9568A"/>
    <w:rsid w:val="00CA08FC"/>
    <w:rsid w:val="00CA16EE"/>
    <w:rsid w:val="00CA2943"/>
    <w:rsid w:val="00CA2FEC"/>
    <w:rsid w:val="00CA3216"/>
    <w:rsid w:val="00CA3746"/>
    <w:rsid w:val="00CA52C0"/>
    <w:rsid w:val="00CA6872"/>
    <w:rsid w:val="00CA6911"/>
    <w:rsid w:val="00CB04E6"/>
    <w:rsid w:val="00CB1E96"/>
    <w:rsid w:val="00CB3BEF"/>
    <w:rsid w:val="00CB4EAC"/>
    <w:rsid w:val="00CB6018"/>
    <w:rsid w:val="00CB6672"/>
    <w:rsid w:val="00CB6E5D"/>
    <w:rsid w:val="00CB733A"/>
    <w:rsid w:val="00CB7A90"/>
    <w:rsid w:val="00CC12CF"/>
    <w:rsid w:val="00CC3621"/>
    <w:rsid w:val="00CC3864"/>
    <w:rsid w:val="00CC511B"/>
    <w:rsid w:val="00CC52DD"/>
    <w:rsid w:val="00CC5D84"/>
    <w:rsid w:val="00CD0643"/>
    <w:rsid w:val="00CD2193"/>
    <w:rsid w:val="00CD2742"/>
    <w:rsid w:val="00CD3363"/>
    <w:rsid w:val="00CD442E"/>
    <w:rsid w:val="00CD5642"/>
    <w:rsid w:val="00CD6813"/>
    <w:rsid w:val="00CD7608"/>
    <w:rsid w:val="00CD7668"/>
    <w:rsid w:val="00CE08F7"/>
    <w:rsid w:val="00CE0C3D"/>
    <w:rsid w:val="00CE1E3C"/>
    <w:rsid w:val="00CE2C64"/>
    <w:rsid w:val="00CE4A10"/>
    <w:rsid w:val="00CE7B8C"/>
    <w:rsid w:val="00CF0052"/>
    <w:rsid w:val="00CF1532"/>
    <w:rsid w:val="00CF20D8"/>
    <w:rsid w:val="00CF295B"/>
    <w:rsid w:val="00CF2966"/>
    <w:rsid w:val="00CF3A9B"/>
    <w:rsid w:val="00CF6D04"/>
    <w:rsid w:val="00D00609"/>
    <w:rsid w:val="00D010DB"/>
    <w:rsid w:val="00D01313"/>
    <w:rsid w:val="00D02678"/>
    <w:rsid w:val="00D028D4"/>
    <w:rsid w:val="00D02D4D"/>
    <w:rsid w:val="00D0350C"/>
    <w:rsid w:val="00D03811"/>
    <w:rsid w:val="00D05F0C"/>
    <w:rsid w:val="00D0623C"/>
    <w:rsid w:val="00D06B61"/>
    <w:rsid w:val="00D06C53"/>
    <w:rsid w:val="00D07A21"/>
    <w:rsid w:val="00D10F16"/>
    <w:rsid w:val="00D1159A"/>
    <w:rsid w:val="00D11B43"/>
    <w:rsid w:val="00D12B55"/>
    <w:rsid w:val="00D12D62"/>
    <w:rsid w:val="00D13B09"/>
    <w:rsid w:val="00D13E7D"/>
    <w:rsid w:val="00D16279"/>
    <w:rsid w:val="00D16F27"/>
    <w:rsid w:val="00D17159"/>
    <w:rsid w:val="00D179A1"/>
    <w:rsid w:val="00D20046"/>
    <w:rsid w:val="00D20496"/>
    <w:rsid w:val="00D204D3"/>
    <w:rsid w:val="00D20D06"/>
    <w:rsid w:val="00D213FE"/>
    <w:rsid w:val="00D248AF"/>
    <w:rsid w:val="00D24D6C"/>
    <w:rsid w:val="00D25981"/>
    <w:rsid w:val="00D261B4"/>
    <w:rsid w:val="00D26A5B"/>
    <w:rsid w:val="00D31A32"/>
    <w:rsid w:val="00D338FD"/>
    <w:rsid w:val="00D3448B"/>
    <w:rsid w:val="00D34959"/>
    <w:rsid w:val="00D35205"/>
    <w:rsid w:val="00D37597"/>
    <w:rsid w:val="00D3784B"/>
    <w:rsid w:val="00D40293"/>
    <w:rsid w:val="00D41E12"/>
    <w:rsid w:val="00D42CD5"/>
    <w:rsid w:val="00D43ABE"/>
    <w:rsid w:val="00D443B2"/>
    <w:rsid w:val="00D459DD"/>
    <w:rsid w:val="00D45A93"/>
    <w:rsid w:val="00D52EED"/>
    <w:rsid w:val="00D53BA5"/>
    <w:rsid w:val="00D54A5F"/>
    <w:rsid w:val="00D54E80"/>
    <w:rsid w:val="00D5624C"/>
    <w:rsid w:val="00D5677E"/>
    <w:rsid w:val="00D56948"/>
    <w:rsid w:val="00D600C1"/>
    <w:rsid w:val="00D6022F"/>
    <w:rsid w:val="00D60C9B"/>
    <w:rsid w:val="00D614C0"/>
    <w:rsid w:val="00D61BC2"/>
    <w:rsid w:val="00D62443"/>
    <w:rsid w:val="00D63D4D"/>
    <w:rsid w:val="00D6508B"/>
    <w:rsid w:val="00D654DE"/>
    <w:rsid w:val="00D65B46"/>
    <w:rsid w:val="00D70AD8"/>
    <w:rsid w:val="00D70B0A"/>
    <w:rsid w:val="00D70B65"/>
    <w:rsid w:val="00D70B75"/>
    <w:rsid w:val="00D724C3"/>
    <w:rsid w:val="00D729DE"/>
    <w:rsid w:val="00D731A8"/>
    <w:rsid w:val="00D739E0"/>
    <w:rsid w:val="00D76903"/>
    <w:rsid w:val="00D76A50"/>
    <w:rsid w:val="00D80104"/>
    <w:rsid w:val="00D82A43"/>
    <w:rsid w:val="00D83A37"/>
    <w:rsid w:val="00D858A3"/>
    <w:rsid w:val="00D864E3"/>
    <w:rsid w:val="00D86B5F"/>
    <w:rsid w:val="00D90D84"/>
    <w:rsid w:val="00D918F7"/>
    <w:rsid w:val="00D926D2"/>
    <w:rsid w:val="00D92BA8"/>
    <w:rsid w:val="00D937FA"/>
    <w:rsid w:val="00D93EB1"/>
    <w:rsid w:val="00D94892"/>
    <w:rsid w:val="00D959C5"/>
    <w:rsid w:val="00D9635D"/>
    <w:rsid w:val="00D969A0"/>
    <w:rsid w:val="00D96AC4"/>
    <w:rsid w:val="00DA1A3E"/>
    <w:rsid w:val="00DA2339"/>
    <w:rsid w:val="00DA2A30"/>
    <w:rsid w:val="00DA2ED7"/>
    <w:rsid w:val="00DA4782"/>
    <w:rsid w:val="00DA4FCC"/>
    <w:rsid w:val="00DA5457"/>
    <w:rsid w:val="00DA551F"/>
    <w:rsid w:val="00DA5BFC"/>
    <w:rsid w:val="00DA6D24"/>
    <w:rsid w:val="00DA7697"/>
    <w:rsid w:val="00DA782B"/>
    <w:rsid w:val="00DB0E56"/>
    <w:rsid w:val="00DB1160"/>
    <w:rsid w:val="00DB15E2"/>
    <w:rsid w:val="00DB23AF"/>
    <w:rsid w:val="00DB2751"/>
    <w:rsid w:val="00DB4193"/>
    <w:rsid w:val="00DB507B"/>
    <w:rsid w:val="00DB5463"/>
    <w:rsid w:val="00DB6BB5"/>
    <w:rsid w:val="00DC0968"/>
    <w:rsid w:val="00DC188E"/>
    <w:rsid w:val="00DC264E"/>
    <w:rsid w:val="00DC2EA6"/>
    <w:rsid w:val="00DC34A6"/>
    <w:rsid w:val="00DC3535"/>
    <w:rsid w:val="00DC4393"/>
    <w:rsid w:val="00DC507B"/>
    <w:rsid w:val="00DC5BBC"/>
    <w:rsid w:val="00DC6BDA"/>
    <w:rsid w:val="00DC768C"/>
    <w:rsid w:val="00DD0282"/>
    <w:rsid w:val="00DD0CD2"/>
    <w:rsid w:val="00DD0DAC"/>
    <w:rsid w:val="00DD2530"/>
    <w:rsid w:val="00DD2652"/>
    <w:rsid w:val="00DD2CE5"/>
    <w:rsid w:val="00DD2FE7"/>
    <w:rsid w:val="00DD4426"/>
    <w:rsid w:val="00DD4C17"/>
    <w:rsid w:val="00DD56EE"/>
    <w:rsid w:val="00DD58CB"/>
    <w:rsid w:val="00DD5FE1"/>
    <w:rsid w:val="00DD7FF6"/>
    <w:rsid w:val="00DE14C5"/>
    <w:rsid w:val="00DE2466"/>
    <w:rsid w:val="00DE4A8A"/>
    <w:rsid w:val="00DE5D94"/>
    <w:rsid w:val="00DE7780"/>
    <w:rsid w:val="00DF0142"/>
    <w:rsid w:val="00DF0A0C"/>
    <w:rsid w:val="00DF171B"/>
    <w:rsid w:val="00DF179F"/>
    <w:rsid w:val="00DF2348"/>
    <w:rsid w:val="00DF324A"/>
    <w:rsid w:val="00DF3394"/>
    <w:rsid w:val="00DF4985"/>
    <w:rsid w:val="00DF5451"/>
    <w:rsid w:val="00DF6754"/>
    <w:rsid w:val="00DF6789"/>
    <w:rsid w:val="00E01992"/>
    <w:rsid w:val="00E02030"/>
    <w:rsid w:val="00E024D5"/>
    <w:rsid w:val="00E0330B"/>
    <w:rsid w:val="00E03AA2"/>
    <w:rsid w:val="00E03EA0"/>
    <w:rsid w:val="00E051D7"/>
    <w:rsid w:val="00E07986"/>
    <w:rsid w:val="00E11416"/>
    <w:rsid w:val="00E1285E"/>
    <w:rsid w:val="00E13033"/>
    <w:rsid w:val="00E1515E"/>
    <w:rsid w:val="00E151A6"/>
    <w:rsid w:val="00E1545D"/>
    <w:rsid w:val="00E15ACB"/>
    <w:rsid w:val="00E16F7C"/>
    <w:rsid w:val="00E20198"/>
    <w:rsid w:val="00E20200"/>
    <w:rsid w:val="00E20683"/>
    <w:rsid w:val="00E21A01"/>
    <w:rsid w:val="00E21AB1"/>
    <w:rsid w:val="00E22C46"/>
    <w:rsid w:val="00E24581"/>
    <w:rsid w:val="00E24741"/>
    <w:rsid w:val="00E249C5"/>
    <w:rsid w:val="00E26EF1"/>
    <w:rsid w:val="00E27787"/>
    <w:rsid w:val="00E27B14"/>
    <w:rsid w:val="00E30F2F"/>
    <w:rsid w:val="00E32360"/>
    <w:rsid w:val="00E32531"/>
    <w:rsid w:val="00E32DD1"/>
    <w:rsid w:val="00E33705"/>
    <w:rsid w:val="00E33EE8"/>
    <w:rsid w:val="00E344E2"/>
    <w:rsid w:val="00E36A8B"/>
    <w:rsid w:val="00E36F28"/>
    <w:rsid w:val="00E371C7"/>
    <w:rsid w:val="00E375E2"/>
    <w:rsid w:val="00E37725"/>
    <w:rsid w:val="00E379F9"/>
    <w:rsid w:val="00E37C11"/>
    <w:rsid w:val="00E40133"/>
    <w:rsid w:val="00E44870"/>
    <w:rsid w:val="00E449FE"/>
    <w:rsid w:val="00E4517F"/>
    <w:rsid w:val="00E46205"/>
    <w:rsid w:val="00E46354"/>
    <w:rsid w:val="00E466DB"/>
    <w:rsid w:val="00E46B1B"/>
    <w:rsid w:val="00E50964"/>
    <w:rsid w:val="00E52388"/>
    <w:rsid w:val="00E53664"/>
    <w:rsid w:val="00E54AFA"/>
    <w:rsid w:val="00E57975"/>
    <w:rsid w:val="00E60910"/>
    <w:rsid w:val="00E61167"/>
    <w:rsid w:val="00E61633"/>
    <w:rsid w:val="00E61741"/>
    <w:rsid w:val="00E61D4A"/>
    <w:rsid w:val="00E624F8"/>
    <w:rsid w:val="00E6257C"/>
    <w:rsid w:val="00E626BD"/>
    <w:rsid w:val="00E63AD6"/>
    <w:rsid w:val="00E63CB7"/>
    <w:rsid w:val="00E6444F"/>
    <w:rsid w:val="00E66288"/>
    <w:rsid w:val="00E6705E"/>
    <w:rsid w:val="00E67B2D"/>
    <w:rsid w:val="00E70690"/>
    <w:rsid w:val="00E70B6C"/>
    <w:rsid w:val="00E718F6"/>
    <w:rsid w:val="00E72395"/>
    <w:rsid w:val="00E74206"/>
    <w:rsid w:val="00E75181"/>
    <w:rsid w:val="00E75C03"/>
    <w:rsid w:val="00E77203"/>
    <w:rsid w:val="00E80A44"/>
    <w:rsid w:val="00E8406B"/>
    <w:rsid w:val="00E84B6C"/>
    <w:rsid w:val="00E84D7A"/>
    <w:rsid w:val="00E85DFA"/>
    <w:rsid w:val="00E860AC"/>
    <w:rsid w:val="00E86366"/>
    <w:rsid w:val="00E87F47"/>
    <w:rsid w:val="00E914BA"/>
    <w:rsid w:val="00E91543"/>
    <w:rsid w:val="00E916D7"/>
    <w:rsid w:val="00E920DD"/>
    <w:rsid w:val="00E92BDF"/>
    <w:rsid w:val="00E93015"/>
    <w:rsid w:val="00E94A6C"/>
    <w:rsid w:val="00E96EFD"/>
    <w:rsid w:val="00EA08A7"/>
    <w:rsid w:val="00EA3AAD"/>
    <w:rsid w:val="00EA44FF"/>
    <w:rsid w:val="00EA4651"/>
    <w:rsid w:val="00EA565F"/>
    <w:rsid w:val="00EA6452"/>
    <w:rsid w:val="00EA657C"/>
    <w:rsid w:val="00EA6E11"/>
    <w:rsid w:val="00EA7B60"/>
    <w:rsid w:val="00EA7F52"/>
    <w:rsid w:val="00EB2101"/>
    <w:rsid w:val="00EB240E"/>
    <w:rsid w:val="00EB347A"/>
    <w:rsid w:val="00EB34B3"/>
    <w:rsid w:val="00EB3786"/>
    <w:rsid w:val="00EB488F"/>
    <w:rsid w:val="00EB4C18"/>
    <w:rsid w:val="00EB4E60"/>
    <w:rsid w:val="00EB6461"/>
    <w:rsid w:val="00EB7629"/>
    <w:rsid w:val="00EB7EF5"/>
    <w:rsid w:val="00EC0E26"/>
    <w:rsid w:val="00EC17EB"/>
    <w:rsid w:val="00EC482C"/>
    <w:rsid w:val="00EC5D28"/>
    <w:rsid w:val="00EC5F14"/>
    <w:rsid w:val="00EC6023"/>
    <w:rsid w:val="00EC74E3"/>
    <w:rsid w:val="00EC7A7F"/>
    <w:rsid w:val="00ED0ED7"/>
    <w:rsid w:val="00ED216B"/>
    <w:rsid w:val="00ED34A8"/>
    <w:rsid w:val="00ED5C09"/>
    <w:rsid w:val="00ED673D"/>
    <w:rsid w:val="00EE12EC"/>
    <w:rsid w:val="00EE13BA"/>
    <w:rsid w:val="00EE233B"/>
    <w:rsid w:val="00EE4FC7"/>
    <w:rsid w:val="00EE5EB2"/>
    <w:rsid w:val="00EE6179"/>
    <w:rsid w:val="00EE671C"/>
    <w:rsid w:val="00EE6ED5"/>
    <w:rsid w:val="00EE7C4A"/>
    <w:rsid w:val="00EF0460"/>
    <w:rsid w:val="00EF04D3"/>
    <w:rsid w:val="00EF20B4"/>
    <w:rsid w:val="00EF2C4D"/>
    <w:rsid w:val="00EF484A"/>
    <w:rsid w:val="00EF63B6"/>
    <w:rsid w:val="00F00435"/>
    <w:rsid w:val="00F00C1E"/>
    <w:rsid w:val="00F01073"/>
    <w:rsid w:val="00F01638"/>
    <w:rsid w:val="00F039CF"/>
    <w:rsid w:val="00F03DBD"/>
    <w:rsid w:val="00F044C5"/>
    <w:rsid w:val="00F0546E"/>
    <w:rsid w:val="00F05F48"/>
    <w:rsid w:val="00F06973"/>
    <w:rsid w:val="00F10414"/>
    <w:rsid w:val="00F1085E"/>
    <w:rsid w:val="00F10960"/>
    <w:rsid w:val="00F142EC"/>
    <w:rsid w:val="00F1501B"/>
    <w:rsid w:val="00F15198"/>
    <w:rsid w:val="00F16F6C"/>
    <w:rsid w:val="00F20F17"/>
    <w:rsid w:val="00F212C8"/>
    <w:rsid w:val="00F22011"/>
    <w:rsid w:val="00F230C2"/>
    <w:rsid w:val="00F238FD"/>
    <w:rsid w:val="00F2485A"/>
    <w:rsid w:val="00F24F7C"/>
    <w:rsid w:val="00F269AA"/>
    <w:rsid w:val="00F30739"/>
    <w:rsid w:val="00F325FF"/>
    <w:rsid w:val="00F32C2E"/>
    <w:rsid w:val="00F32C47"/>
    <w:rsid w:val="00F347C3"/>
    <w:rsid w:val="00F3578F"/>
    <w:rsid w:val="00F36375"/>
    <w:rsid w:val="00F36940"/>
    <w:rsid w:val="00F3717D"/>
    <w:rsid w:val="00F40218"/>
    <w:rsid w:val="00F4150B"/>
    <w:rsid w:val="00F418AD"/>
    <w:rsid w:val="00F4190F"/>
    <w:rsid w:val="00F41CAC"/>
    <w:rsid w:val="00F432B3"/>
    <w:rsid w:val="00F433A7"/>
    <w:rsid w:val="00F43DA2"/>
    <w:rsid w:val="00F44FC1"/>
    <w:rsid w:val="00F45C41"/>
    <w:rsid w:val="00F50002"/>
    <w:rsid w:val="00F50241"/>
    <w:rsid w:val="00F50911"/>
    <w:rsid w:val="00F50E81"/>
    <w:rsid w:val="00F51709"/>
    <w:rsid w:val="00F523E7"/>
    <w:rsid w:val="00F5258A"/>
    <w:rsid w:val="00F53044"/>
    <w:rsid w:val="00F533B0"/>
    <w:rsid w:val="00F54089"/>
    <w:rsid w:val="00F55D7D"/>
    <w:rsid w:val="00F57E53"/>
    <w:rsid w:val="00F61EAB"/>
    <w:rsid w:val="00F63892"/>
    <w:rsid w:val="00F63C75"/>
    <w:rsid w:val="00F64839"/>
    <w:rsid w:val="00F6523F"/>
    <w:rsid w:val="00F65664"/>
    <w:rsid w:val="00F65AC8"/>
    <w:rsid w:val="00F66449"/>
    <w:rsid w:val="00F666BD"/>
    <w:rsid w:val="00F70513"/>
    <w:rsid w:val="00F70C8E"/>
    <w:rsid w:val="00F71C9C"/>
    <w:rsid w:val="00F72239"/>
    <w:rsid w:val="00F732DC"/>
    <w:rsid w:val="00F740B7"/>
    <w:rsid w:val="00F741BE"/>
    <w:rsid w:val="00F7509D"/>
    <w:rsid w:val="00F80895"/>
    <w:rsid w:val="00F80F5D"/>
    <w:rsid w:val="00F82519"/>
    <w:rsid w:val="00F837C7"/>
    <w:rsid w:val="00F841FA"/>
    <w:rsid w:val="00F8581F"/>
    <w:rsid w:val="00F867C4"/>
    <w:rsid w:val="00F86F3D"/>
    <w:rsid w:val="00F87FE5"/>
    <w:rsid w:val="00F90CF4"/>
    <w:rsid w:val="00F91D98"/>
    <w:rsid w:val="00F91E4C"/>
    <w:rsid w:val="00F94D07"/>
    <w:rsid w:val="00F96C21"/>
    <w:rsid w:val="00F9732A"/>
    <w:rsid w:val="00F97817"/>
    <w:rsid w:val="00F97A4B"/>
    <w:rsid w:val="00F97B69"/>
    <w:rsid w:val="00FA095B"/>
    <w:rsid w:val="00FA2BCC"/>
    <w:rsid w:val="00FA305C"/>
    <w:rsid w:val="00FA37F9"/>
    <w:rsid w:val="00FA38A2"/>
    <w:rsid w:val="00FA7369"/>
    <w:rsid w:val="00FA7489"/>
    <w:rsid w:val="00FB0BB0"/>
    <w:rsid w:val="00FB1195"/>
    <w:rsid w:val="00FB1283"/>
    <w:rsid w:val="00FB2A3D"/>
    <w:rsid w:val="00FB2E5C"/>
    <w:rsid w:val="00FB3433"/>
    <w:rsid w:val="00FB405E"/>
    <w:rsid w:val="00FB5C80"/>
    <w:rsid w:val="00FC003A"/>
    <w:rsid w:val="00FC1079"/>
    <w:rsid w:val="00FC1C75"/>
    <w:rsid w:val="00FC20D4"/>
    <w:rsid w:val="00FC2450"/>
    <w:rsid w:val="00FC2B18"/>
    <w:rsid w:val="00FC46FF"/>
    <w:rsid w:val="00FC48D3"/>
    <w:rsid w:val="00FC4B15"/>
    <w:rsid w:val="00FC5B66"/>
    <w:rsid w:val="00FC6075"/>
    <w:rsid w:val="00FC78A7"/>
    <w:rsid w:val="00FD0C50"/>
    <w:rsid w:val="00FD1D71"/>
    <w:rsid w:val="00FD313F"/>
    <w:rsid w:val="00FD5286"/>
    <w:rsid w:val="00FD5881"/>
    <w:rsid w:val="00FD5D87"/>
    <w:rsid w:val="00FD72AC"/>
    <w:rsid w:val="00FE0015"/>
    <w:rsid w:val="00FE043E"/>
    <w:rsid w:val="00FE065D"/>
    <w:rsid w:val="00FE0EFB"/>
    <w:rsid w:val="00FE310F"/>
    <w:rsid w:val="00FE34E5"/>
    <w:rsid w:val="00FE365D"/>
    <w:rsid w:val="00FE37E1"/>
    <w:rsid w:val="00FE42C4"/>
    <w:rsid w:val="00FF193E"/>
    <w:rsid w:val="00FF2FB9"/>
    <w:rsid w:val="00FF30F8"/>
    <w:rsid w:val="00FF3CFB"/>
    <w:rsid w:val="00FF491B"/>
    <w:rsid w:val="00FF561C"/>
    <w:rsid w:val="02CC4470"/>
    <w:rsid w:val="07B96196"/>
    <w:rsid w:val="0DED2895"/>
    <w:rsid w:val="0E661A45"/>
    <w:rsid w:val="127A5B76"/>
    <w:rsid w:val="15EE1BB2"/>
    <w:rsid w:val="17A15CD6"/>
    <w:rsid w:val="18A34DB6"/>
    <w:rsid w:val="1DFC7B02"/>
    <w:rsid w:val="2087660B"/>
    <w:rsid w:val="215D4821"/>
    <w:rsid w:val="21AA64D4"/>
    <w:rsid w:val="25055D31"/>
    <w:rsid w:val="27381A82"/>
    <w:rsid w:val="2D3C6472"/>
    <w:rsid w:val="36E265EE"/>
    <w:rsid w:val="383B57A9"/>
    <w:rsid w:val="3CE31DAD"/>
    <w:rsid w:val="3D0036EE"/>
    <w:rsid w:val="3D68763F"/>
    <w:rsid w:val="3E4C5075"/>
    <w:rsid w:val="3F7947B4"/>
    <w:rsid w:val="44F62D7D"/>
    <w:rsid w:val="464360E1"/>
    <w:rsid w:val="4C59597D"/>
    <w:rsid w:val="4F595406"/>
    <w:rsid w:val="4FDD33E0"/>
    <w:rsid w:val="51CE3660"/>
    <w:rsid w:val="51FB0CED"/>
    <w:rsid w:val="5331602C"/>
    <w:rsid w:val="55D342BF"/>
    <w:rsid w:val="58FD3036"/>
    <w:rsid w:val="6799609E"/>
    <w:rsid w:val="694D3FBE"/>
    <w:rsid w:val="6D6B2ED1"/>
    <w:rsid w:val="73AA07F3"/>
    <w:rsid w:val="74662E38"/>
    <w:rsid w:val="74CA1728"/>
    <w:rsid w:val="757F5EE9"/>
    <w:rsid w:val="76401A13"/>
    <w:rsid w:val="773B6EA2"/>
    <w:rsid w:val="7A721444"/>
    <w:rsid w:val="7B607E8F"/>
    <w:rsid w:val="7E82272C"/>
    <w:rsid w:val="7E944E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40" w:firstLineChars="200"/>
      <w:jc w:val="both"/>
    </w:pPr>
    <w:rPr>
      <w:rFonts w:ascii="Times New Roman" w:hAnsi="Times New Roman" w:eastAsia="宋体" w:cs="Times New Roman"/>
      <w:kern w:val="2"/>
      <w:sz w:val="22"/>
      <w:szCs w:val="24"/>
      <w:lang w:val="en-US" w:eastAsia="zh-CN" w:bidi="ar-SA"/>
    </w:rPr>
  </w:style>
  <w:style w:type="paragraph" w:styleId="2">
    <w:name w:val="heading 1"/>
    <w:basedOn w:val="3"/>
    <w:next w:val="1"/>
    <w:link w:val="29"/>
    <w:qFormat/>
    <w:uiPriority w:val="0"/>
    <w:pPr>
      <w:outlineLvl w:val="0"/>
    </w:p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学习材料标题样式二"/>
    <w:basedOn w:val="4"/>
    <w:link w:val="30"/>
    <w:qFormat/>
    <w:uiPriority w:val="0"/>
    <w:pPr>
      <w:spacing w:before="0" w:after="156" w:line="240" w:lineRule="auto"/>
      <w:ind w:firstLine="0" w:firstLineChars="0"/>
      <w:jc w:val="center"/>
    </w:pPr>
    <w:rPr>
      <w:rFonts w:ascii="方正小标宋简体" w:hAnsi="Times New Roman" w:eastAsia="方正小标宋简体" w:cs="Tahoma"/>
      <w:spacing w:val="-4"/>
      <w:kern w:val="0"/>
    </w:rPr>
  </w:style>
  <w:style w:type="paragraph" w:styleId="8">
    <w:name w:val="toc 3"/>
    <w:basedOn w:val="1"/>
    <w:next w:val="1"/>
    <w:qFormat/>
    <w:uiPriority w:val="39"/>
    <w:pPr>
      <w:tabs>
        <w:tab w:val="right" w:leader="dot" w:pos="8318"/>
      </w:tabs>
      <w:ind w:left="178" w:leftChars="85"/>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5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318"/>
      </w:tabs>
    </w:pPr>
    <w:rPr>
      <w:rFonts w:ascii="楷体_GB2312" w:eastAsia="楷体_GB2312"/>
      <w:b/>
      <w:spacing w:val="-20"/>
      <w:sz w:val="30"/>
      <w:szCs w:val="30"/>
    </w:rPr>
  </w:style>
  <w:style w:type="paragraph" w:styleId="14">
    <w:name w:val="Subtitle"/>
    <w:basedOn w:val="1"/>
    <w:next w:val="1"/>
    <w:link w:val="50"/>
    <w:qFormat/>
    <w:uiPriority w:val="0"/>
    <w:pPr>
      <w:spacing w:beforeLines="50" w:afterLines="50"/>
      <w:ind w:firstLine="0" w:firstLineChars="0"/>
      <w:jc w:val="center"/>
    </w:pPr>
    <w:rPr>
      <w:rFonts w:ascii="楷体" w:hAnsi="楷体" w:eastAsia="楷体"/>
      <w:b/>
      <w:sz w:val="28"/>
    </w:rPr>
  </w:style>
  <w:style w:type="paragraph" w:styleId="15">
    <w:name w:val="toc 2"/>
    <w:basedOn w:val="1"/>
    <w:next w:val="1"/>
    <w:qFormat/>
    <w:uiPriority w:val="39"/>
    <w:pPr>
      <w:tabs>
        <w:tab w:val="right" w:leader="dot" w:pos="8296"/>
      </w:tabs>
      <w:ind w:left="420"/>
      <w:jc w:val="center"/>
    </w:pPr>
    <w:rPr>
      <w:b/>
      <w:sz w:val="24"/>
      <w:szCs w:val="3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8"/>
    <w:next w:val="1"/>
    <w:link w:val="47"/>
    <w:qFormat/>
    <w:uiPriority w:val="0"/>
    <w:pPr>
      <w:jc w:val="both"/>
    </w:pPr>
  </w:style>
  <w:style w:type="paragraph" w:customStyle="1" w:styleId="18">
    <w:name w:val="学习材料标题样式一"/>
    <w:basedOn w:val="2"/>
    <w:link w:val="31"/>
    <w:qFormat/>
    <w:uiPriority w:val="0"/>
    <w:pPr>
      <w:spacing w:afterLines="50"/>
    </w:pPr>
    <w:rPr>
      <w:rFonts w:ascii="黑体" w:hAnsi="黑体" w:eastAsia="黑体"/>
      <w:szCs w:val="36"/>
    </w:r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qFormat/>
    <w:uiPriority w:val="0"/>
    <w:rPr>
      <w:vanish/>
      <w:color w:val="005C81"/>
      <w:u w:val="none"/>
    </w:rPr>
  </w:style>
  <w:style w:type="character" w:styleId="23">
    <w:name w:val="Emphasis"/>
    <w:basedOn w:val="19"/>
    <w:qFormat/>
    <w:uiPriority w:val="0"/>
  </w:style>
  <w:style w:type="character" w:styleId="24">
    <w:name w:val="Hyperlink"/>
    <w:basedOn w:val="19"/>
    <w:qFormat/>
    <w:uiPriority w:val="99"/>
    <w:rPr>
      <w:color w:val="auto"/>
      <w:u w:val="none"/>
    </w:rPr>
  </w:style>
  <w:style w:type="paragraph" w:customStyle="1" w:styleId="26">
    <w:name w:val="学习材料标题样式三"/>
    <w:basedOn w:val="5"/>
    <w:link w:val="32"/>
    <w:qFormat/>
    <w:uiPriority w:val="0"/>
    <w:pPr>
      <w:spacing w:before="120" w:after="120" w:line="240" w:lineRule="auto"/>
      <w:jc w:val="center"/>
    </w:pPr>
    <w:rPr>
      <w:rFonts w:ascii="方正小标宋简体" w:eastAsia="方正小标宋简体"/>
      <w:b w:val="0"/>
      <w:sz w:val="30"/>
      <w:szCs w:val="30"/>
    </w:rPr>
  </w:style>
  <w:style w:type="paragraph" w:customStyle="1" w:styleId="27">
    <w:name w:val="样式 经典楷体简 28 磅 加粗 居中 段后: 7.8 磅"/>
    <w:basedOn w:val="1"/>
    <w:qFormat/>
    <w:uiPriority w:val="0"/>
    <w:pPr>
      <w:spacing w:after="156"/>
      <w:jc w:val="center"/>
    </w:pPr>
    <w:rPr>
      <w:rFonts w:ascii="经典楷体简" w:hAnsi="宋体" w:eastAsia="楷体_GB2312" w:cs="宋体"/>
      <w:b/>
      <w:bCs/>
      <w:sz w:val="56"/>
      <w:szCs w:val="20"/>
    </w:rPr>
  </w:style>
  <w:style w:type="paragraph" w:customStyle="1" w:styleId="28">
    <w:name w:val="样式 宋体 三号 加粗 段后: 7.8 磅"/>
    <w:basedOn w:val="1"/>
    <w:qFormat/>
    <w:uiPriority w:val="0"/>
    <w:pPr>
      <w:spacing w:after="156"/>
    </w:pPr>
    <w:rPr>
      <w:rFonts w:ascii="宋体" w:hAnsi="宋体" w:eastAsia="仿宋_GB2312" w:cs="宋体"/>
      <w:b/>
      <w:bCs/>
      <w:sz w:val="32"/>
      <w:szCs w:val="20"/>
    </w:rPr>
  </w:style>
  <w:style w:type="character" w:customStyle="1" w:styleId="29">
    <w:name w:val="标题 1 Char"/>
    <w:basedOn w:val="19"/>
    <w:link w:val="2"/>
    <w:qFormat/>
    <w:uiPriority w:val="0"/>
    <w:rPr>
      <w:rFonts w:ascii="方正小标宋简体" w:eastAsia="方正小标宋简体" w:cs="Tahoma"/>
      <w:b/>
      <w:bCs/>
      <w:spacing w:val="-4"/>
      <w:sz w:val="32"/>
      <w:szCs w:val="32"/>
    </w:rPr>
  </w:style>
  <w:style w:type="character" w:customStyle="1" w:styleId="30">
    <w:name w:val="学习材料标题样式二 Char"/>
    <w:basedOn w:val="19"/>
    <w:link w:val="3"/>
    <w:qFormat/>
    <w:uiPriority w:val="0"/>
    <w:rPr>
      <w:rFonts w:ascii="方正小标宋简体" w:eastAsia="方正小标宋简体" w:cs="Tahoma"/>
      <w:b/>
      <w:bCs/>
      <w:spacing w:val="-4"/>
      <w:sz w:val="32"/>
      <w:szCs w:val="32"/>
    </w:rPr>
  </w:style>
  <w:style w:type="character" w:customStyle="1" w:styleId="31">
    <w:name w:val="学习材料标题样式一 Char"/>
    <w:basedOn w:val="29"/>
    <w:link w:val="18"/>
    <w:qFormat/>
    <w:uiPriority w:val="0"/>
    <w:rPr>
      <w:rFonts w:ascii="黑体" w:hAnsi="黑体" w:eastAsia="黑体"/>
      <w:sz w:val="32"/>
      <w:szCs w:val="36"/>
    </w:rPr>
  </w:style>
  <w:style w:type="character" w:customStyle="1" w:styleId="32">
    <w:name w:val="学习材料标题样式三 Char"/>
    <w:basedOn w:val="19"/>
    <w:link w:val="26"/>
    <w:qFormat/>
    <w:uiPriority w:val="0"/>
    <w:rPr>
      <w:rFonts w:ascii="方正小标宋简体" w:eastAsia="方正小标宋简体"/>
      <w:bCs/>
      <w:kern w:val="2"/>
      <w:sz w:val="30"/>
      <w:szCs w:val="30"/>
      <w:lang w:eastAsia="zh-CN" w:bidi="ar-SA"/>
    </w:rPr>
  </w:style>
  <w:style w:type="paragraph" w:customStyle="1" w:styleId="33">
    <w:name w:val="tc"/>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4">
    <w:name w:val="style3"/>
    <w:basedOn w:val="1"/>
    <w:qFormat/>
    <w:uiPriority w:val="0"/>
    <w:pPr>
      <w:widowControl/>
      <w:spacing w:before="100" w:beforeAutospacing="1" w:after="100" w:afterAutospacing="1"/>
      <w:jc w:val="left"/>
    </w:pPr>
    <w:rPr>
      <w:rFonts w:ascii="新宋体" w:hAnsi="新宋体" w:eastAsia="新宋体" w:cs="宋体"/>
      <w:color w:val="000000"/>
      <w:kern w:val="0"/>
      <w:sz w:val="19"/>
      <w:szCs w:val="19"/>
    </w:rPr>
  </w:style>
  <w:style w:type="character" w:customStyle="1" w:styleId="35">
    <w:name w:val="lemmatitleh11"/>
    <w:basedOn w:val="19"/>
    <w:qFormat/>
    <w:uiPriority w:val="0"/>
  </w:style>
  <w:style w:type="paragraph" w:customStyle="1" w:styleId="36">
    <w:name w:val="custom_unionstyle"/>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apple-converted-space"/>
    <w:basedOn w:val="19"/>
    <w:qFormat/>
    <w:uiPriority w:val="0"/>
  </w:style>
  <w:style w:type="paragraph" w:customStyle="1" w:styleId="38">
    <w:name w:val="Char"/>
    <w:basedOn w:val="1"/>
    <w:qFormat/>
    <w:uiPriority w:val="0"/>
    <w:pPr>
      <w:spacing w:after="160" w:line="360" w:lineRule="auto"/>
    </w:pPr>
    <w:rPr>
      <w:szCs w:val="20"/>
    </w:rPr>
  </w:style>
  <w:style w:type="character" w:customStyle="1" w:styleId="39">
    <w:name w:val="date"/>
    <w:basedOn w:val="19"/>
    <w:qFormat/>
    <w:uiPriority w:val="0"/>
  </w:style>
  <w:style w:type="paragraph" w:customStyle="1" w:styleId="40">
    <w:name w:val="b-free-read-leaf"/>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sub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author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intro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sec"/>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opy-co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不明显参考1"/>
    <w:basedOn w:val="19"/>
    <w:qFormat/>
    <w:uiPriority w:val="31"/>
    <w:rPr>
      <w:smallCaps/>
      <w:color w:val="C0504D"/>
      <w:u w:val="single"/>
    </w:rPr>
  </w:style>
  <w:style w:type="character" w:customStyle="1" w:styleId="47">
    <w:name w:val="标题 Char"/>
    <w:basedOn w:val="19"/>
    <w:link w:val="17"/>
    <w:qFormat/>
    <w:uiPriority w:val="0"/>
    <w:rPr>
      <w:rFonts w:ascii="黑体" w:hAnsi="黑体" w:eastAsia="黑体" w:cs="Tahoma"/>
      <w:b/>
      <w:bCs/>
      <w:spacing w:val="-4"/>
      <w:sz w:val="32"/>
      <w:szCs w:val="36"/>
    </w:rPr>
  </w:style>
  <w:style w:type="paragraph" w:customStyle="1" w:styleId="48">
    <w:name w:val="中标题"/>
    <w:basedOn w:val="3"/>
    <w:link w:val="49"/>
    <w:qFormat/>
    <w:uiPriority w:val="0"/>
  </w:style>
  <w:style w:type="character" w:customStyle="1" w:styleId="49">
    <w:name w:val="中标题 Char"/>
    <w:basedOn w:val="29"/>
    <w:link w:val="48"/>
    <w:qFormat/>
    <w:uiPriority w:val="0"/>
  </w:style>
  <w:style w:type="character" w:customStyle="1" w:styleId="50">
    <w:name w:val="副标题 Char"/>
    <w:basedOn w:val="19"/>
    <w:link w:val="14"/>
    <w:qFormat/>
    <w:uiPriority w:val="0"/>
    <w:rPr>
      <w:rFonts w:ascii="楷体" w:hAnsi="楷体" w:eastAsia="楷体"/>
      <w:b/>
      <w:kern w:val="2"/>
      <w:sz w:val="28"/>
      <w:szCs w:val="24"/>
    </w:rPr>
  </w:style>
  <w:style w:type="character" w:customStyle="1" w:styleId="51">
    <w:name w:val="页脚 Char"/>
    <w:basedOn w:val="19"/>
    <w:link w:val="11"/>
    <w:qFormat/>
    <w:uiPriority w:val="99"/>
    <w:rPr>
      <w:kern w:val="2"/>
      <w:sz w:val="18"/>
      <w:szCs w:val="18"/>
    </w:rPr>
  </w:style>
  <w:style w:type="paragraph" w:customStyle="1" w:styleId="52">
    <w:name w:val="副标题楷体"/>
    <w:basedOn w:val="14"/>
    <w:link w:val="53"/>
    <w:qFormat/>
    <w:uiPriority w:val="0"/>
    <w:pPr>
      <w:spacing w:before="156" w:after="156"/>
    </w:pPr>
    <w:rPr>
      <w:b w:val="0"/>
      <w:sz w:val="24"/>
    </w:rPr>
  </w:style>
  <w:style w:type="character" w:customStyle="1" w:styleId="53">
    <w:name w:val="副标题楷体 Char"/>
    <w:basedOn w:val="50"/>
    <w:link w:val="52"/>
    <w:qFormat/>
    <w:uiPriority w:val="0"/>
    <w:rPr>
      <w:sz w:val="24"/>
    </w:rPr>
  </w:style>
  <w:style w:type="paragraph" w:customStyle="1" w:styleId="54">
    <w:name w:val="sub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55">
    <w:name w:val="明显强调1"/>
    <w:basedOn w:val="19"/>
    <w:qFormat/>
    <w:uiPriority w:val="21"/>
    <w:rPr>
      <w:b/>
      <w:bCs/>
      <w:i/>
      <w:iCs/>
      <w:color w:val="4F81BD" w:themeColor="accent1"/>
      <w14:textFill>
        <w14:solidFill>
          <w14:schemeClr w14:val="accent1"/>
        </w14:solidFill>
      </w14:textFill>
    </w:rPr>
  </w:style>
  <w:style w:type="character" w:customStyle="1" w:styleId="56">
    <w:name w:val="bjh-p"/>
    <w:basedOn w:val="19"/>
    <w:qFormat/>
    <w:uiPriority w:val="0"/>
  </w:style>
  <w:style w:type="character" w:customStyle="1" w:styleId="57">
    <w:name w:val="ariaskiptheme"/>
    <w:basedOn w:val="19"/>
    <w:qFormat/>
    <w:uiPriority w:val="0"/>
  </w:style>
  <w:style w:type="character" w:customStyle="1" w:styleId="58">
    <w:name w:val="不明显参考2"/>
    <w:basedOn w:val="19"/>
    <w:qFormat/>
    <w:uiPriority w:val="31"/>
    <w:rPr>
      <w:smallCaps/>
      <w:color w:val="C0504D" w:themeColor="accent2"/>
      <w:u w:val="single"/>
      <w14:textFill>
        <w14:solidFill>
          <w14:schemeClr w14:val="accent2"/>
        </w14:solidFill>
      </w14:textFill>
    </w:rPr>
  </w:style>
  <w:style w:type="paragraph" w:customStyle="1" w:styleId="5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spacing w:val="0"/>
      <w:sz w:val="28"/>
      <w:szCs w:val="28"/>
    </w:rPr>
  </w:style>
  <w:style w:type="paragraph" w:customStyle="1" w:styleId="60">
    <w:name w:val="intro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paragraph" w:customStyle="1" w:styleId="61">
    <w:name w:val="author"/>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62">
    <w:name w:val="newstime"/>
    <w:basedOn w:val="1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C7D4A-5C30-4EBC-9323-1D6E5C9A04C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34</Pages>
  <Words>6405</Words>
  <Characters>36509</Characters>
  <Lines>304</Lines>
  <Paragraphs>85</Paragraphs>
  <TotalTime>88</TotalTime>
  <ScaleCrop>false</ScaleCrop>
  <LinksUpToDate>false</LinksUpToDate>
  <CharactersWithSpaces>42829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2025-08-01T01:05:00Z</dcterms:created>
  <dc:creator>lenovo</dc:creator>
  <cp:lastModifiedBy>Administrator</cp:lastModifiedBy>
  <cp:lastPrinted>2025-11-04T03:25:00Z</cp:lastPrinted>
  <dcterms:modified xsi:type="dcterms:W3CDTF">2026-05-29T07:14:10Z</dcterms:modified>
  <dc:title>泉州市机关党员教育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FFBCECFD163D43B5BF30DBA27D8013A0_12</vt:lpwstr>
  </property>
</Properties>
</file>